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B8A3A" w14:textId="56B69F38" w:rsidR="00230093" w:rsidRPr="00823FED" w:rsidRDefault="00E52DA2" w:rsidP="00716035">
      <w:pPr>
        <w:spacing w:after="0" w:line="240" w:lineRule="auto"/>
        <w:jc w:val="center"/>
        <w:rPr>
          <w:rFonts w:ascii="Cambria" w:hAnsi="Cambria" w:cstheme="minorHAnsi"/>
          <w:b/>
          <w:bCs/>
          <w:caps/>
        </w:rPr>
      </w:pPr>
      <w:r w:rsidRPr="00823FED">
        <w:rPr>
          <w:rFonts w:ascii="Cambria" w:hAnsi="Cambria" w:cstheme="minorHAnsi"/>
          <w:b/>
          <w:bCs/>
          <w:lang w:eastAsia="bg-BG"/>
        </w:rPr>
        <w:t>Отчет по к</w:t>
      </w:r>
      <w:r w:rsidR="00230093" w:rsidRPr="00823FED">
        <w:rPr>
          <w:rFonts w:ascii="Cambria" w:hAnsi="Cambria" w:cstheme="minorHAnsi"/>
          <w:b/>
          <w:bCs/>
          <w:lang w:eastAsia="bg-BG"/>
        </w:rPr>
        <w:t>лючови индикатори за изпълнение на политиките и целеви стойности за</w:t>
      </w:r>
      <w:r w:rsidR="00BF28B6" w:rsidRPr="00823FED">
        <w:rPr>
          <w:rFonts w:ascii="Cambria" w:hAnsi="Cambria" w:cstheme="minorHAnsi"/>
          <w:b/>
          <w:bCs/>
          <w:lang w:eastAsia="bg-BG"/>
        </w:rPr>
        <w:t xml:space="preserve"> 202</w:t>
      </w:r>
      <w:r w:rsidR="00C6179F" w:rsidRPr="00823FED">
        <w:rPr>
          <w:rFonts w:ascii="Cambria" w:hAnsi="Cambria" w:cstheme="minorHAnsi"/>
          <w:b/>
          <w:bCs/>
          <w:lang w:eastAsia="bg-BG"/>
        </w:rPr>
        <w:t>1</w:t>
      </w:r>
      <w:r w:rsidRPr="00823FED">
        <w:rPr>
          <w:rFonts w:ascii="Cambria" w:hAnsi="Cambria" w:cstheme="minorHAnsi"/>
          <w:b/>
          <w:bCs/>
          <w:lang w:eastAsia="bg-BG"/>
        </w:rPr>
        <w:t xml:space="preserve"> г. </w:t>
      </w:r>
      <w:r w:rsidR="00230093" w:rsidRPr="00823FED">
        <w:rPr>
          <w:rFonts w:ascii="Cambria" w:hAnsi="Cambria" w:cstheme="minorHAnsi"/>
          <w:b/>
          <w:bCs/>
        </w:rPr>
        <w:t xml:space="preserve">на </w:t>
      </w:r>
      <w:r w:rsidR="00A32220" w:rsidRPr="00823FED">
        <w:rPr>
          <w:rFonts w:ascii="Cambria" w:hAnsi="Cambria" w:cstheme="minorHAnsi"/>
          <w:b/>
          <w:bCs/>
        </w:rPr>
        <w:t>Министерството на външните работи</w:t>
      </w:r>
    </w:p>
    <w:p w14:paraId="0C62B5C1" w14:textId="77777777" w:rsidR="00230093" w:rsidRPr="00823FED" w:rsidRDefault="00230093" w:rsidP="00716035">
      <w:pPr>
        <w:spacing w:after="0" w:line="240" w:lineRule="auto"/>
        <w:jc w:val="center"/>
        <w:rPr>
          <w:rFonts w:ascii="Cambria" w:hAnsi="Cambria" w:cstheme="minorHAnsi"/>
          <w:b/>
          <w:bCs/>
          <w:caps/>
        </w:rPr>
      </w:pPr>
    </w:p>
    <w:p w14:paraId="20689C14" w14:textId="380197B1" w:rsidR="00C57C51" w:rsidRPr="00412B89" w:rsidRDefault="00A32220" w:rsidP="00412B89">
      <w:pPr>
        <w:spacing w:after="0" w:line="240" w:lineRule="auto"/>
        <w:ind w:firstLine="708"/>
        <w:jc w:val="both"/>
        <w:rPr>
          <w:rFonts w:ascii="Cambria" w:hAnsi="Cambria" w:cstheme="minorHAnsi"/>
          <w:color w:val="000000"/>
        </w:rPr>
      </w:pPr>
      <w:r w:rsidRPr="00823FED">
        <w:rPr>
          <w:rFonts w:ascii="Cambria" w:hAnsi="Cambria" w:cstheme="minorHAnsi"/>
          <w:color w:val="000000"/>
        </w:rPr>
        <w:t xml:space="preserve">За </w:t>
      </w:r>
      <w:r w:rsidRPr="00823FED">
        <w:rPr>
          <w:rFonts w:ascii="Cambria" w:hAnsi="Cambria" w:cstheme="minorHAnsi"/>
        </w:rPr>
        <w:t>целите</w:t>
      </w:r>
      <w:r w:rsidRPr="00823FED">
        <w:rPr>
          <w:rFonts w:ascii="Cambria" w:hAnsi="Cambria" w:cstheme="minorHAnsi"/>
          <w:color w:val="000000"/>
        </w:rPr>
        <w:t xml:space="preserve"> на програмното бюджетиране и предвид административното </w:t>
      </w:r>
      <w:r w:rsidR="000A0E83" w:rsidRPr="00823FED">
        <w:rPr>
          <w:rFonts w:ascii="Cambria" w:hAnsi="Cambria" w:cstheme="minorHAnsi"/>
          <w:color w:val="000000"/>
        </w:rPr>
        <w:t xml:space="preserve">и </w:t>
      </w:r>
      <w:r w:rsidRPr="00823FED">
        <w:rPr>
          <w:rFonts w:ascii="Cambria" w:hAnsi="Cambria" w:cstheme="minorHAnsi"/>
          <w:color w:val="000000"/>
        </w:rPr>
        <w:t>функционалното разпределение в дейността на М</w:t>
      </w:r>
      <w:r w:rsidR="00DA7D34" w:rsidRPr="00823FED">
        <w:rPr>
          <w:rFonts w:ascii="Cambria" w:hAnsi="Cambria" w:cstheme="minorHAnsi"/>
          <w:color w:val="000000"/>
        </w:rPr>
        <w:t>инистерството на външните работи</w:t>
      </w:r>
      <w:r w:rsidRPr="00823FED">
        <w:rPr>
          <w:rFonts w:ascii="Cambria" w:hAnsi="Cambria" w:cstheme="minorHAnsi"/>
          <w:color w:val="000000"/>
        </w:rPr>
        <w:t xml:space="preserve">, </w:t>
      </w:r>
      <w:r w:rsidR="00DA7D34" w:rsidRPr="00823FED">
        <w:rPr>
          <w:rFonts w:ascii="Cambria" w:hAnsi="Cambria" w:cstheme="minorHAnsi"/>
          <w:color w:val="000000"/>
        </w:rPr>
        <w:t xml:space="preserve">с оглед </w:t>
      </w:r>
      <w:r w:rsidRPr="00823FED">
        <w:rPr>
          <w:rFonts w:ascii="Cambria" w:hAnsi="Cambria" w:cstheme="minorHAnsi"/>
          <w:color w:val="000000"/>
        </w:rPr>
        <w:t xml:space="preserve">отчетност </w:t>
      </w:r>
      <w:r w:rsidR="00DA7D34" w:rsidRPr="00823FED">
        <w:rPr>
          <w:rFonts w:ascii="Cambria" w:hAnsi="Cambria" w:cstheme="minorHAnsi"/>
          <w:color w:val="000000"/>
        </w:rPr>
        <w:t xml:space="preserve">и ефективност </w:t>
      </w:r>
      <w:r w:rsidRPr="00823FED">
        <w:rPr>
          <w:rFonts w:ascii="Cambria" w:hAnsi="Cambria" w:cstheme="minorHAnsi"/>
          <w:color w:val="000000"/>
        </w:rPr>
        <w:t xml:space="preserve">са формулирани три политики - </w:t>
      </w:r>
      <w:r w:rsidRPr="00823FED">
        <w:rPr>
          <w:rFonts w:ascii="Cambria" w:hAnsi="Cambria" w:cstheme="minorHAnsi"/>
          <w:i/>
          <w:color w:val="000000"/>
        </w:rPr>
        <w:t>„Развитие на ефективна дипломатическа служба”</w:t>
      </w:r>
      <w:r w:rsidRPr="00823FED">
        <w:rPr>
          <w:rFonts w:ascii="Cambria" w:hAnsi="Cambria" w:cstheme="minorHAnsi"/>
          <w:color w:val="000000"/>
        </w:rPr>
        <w:t>, „</w:t>
      </w:r>
      <w:r w:rsidRPr="00823FED">
        <w:rPr>
          <w:rFonts w:ascii="Cambria" w:hAnsi="Cambria" w:cstheme="minorHAnsi"/>
          <w:i/>
          <w:color w:val="000000"/>
        </w:rPr>
        <w:t>Публична дипломация”</w:t>
      </w:r>
      <w:r w:rsidRPr="00823FED">
        <w:rPr>
          <w:rFonts w:ascii="Cambria" w:hAnsi="Cambria" w:cstheme="minorHAnsi"/>
          <w:color w:val="000000"/>
        </w:rPr>
        <w:t xml:space="preserve">, </w:t>
      </w:r>
      <w:r w:rsidRPr="00823FED">
        <w:rPr>
          <w:rFonts w:ascii="Cambria" w:hAnsi="Cambria" w:cstheme="minorHAnsi"/>
          <w:i/>
          <w:color w:val="000000"/>
        </w:rPr>
        <w:t>„Активна двустранна и многостранна дипломация”</w:t>
      </w:r>
      <w:r w:rsidRPr="00823FED">
        <w:rPr>
          <w:rFonts w:ascii="Cambria" w:hAnsi="Cambria" w:cstheme="minorHAnsi"/>
          <w:color w:val="000000"/>
        </w:rPr>
        <w:t xml:space="preserve"> и </w:t>
      </w:r>
      <w:r w:rsidRPr="00823FED">
        <w:rPr>
          <w:rFonts w:ascii="Cambria" w:hAnsi="Cambria" w:cstheme="minorHAnsi"/>
          <w:i/>
          <w:color w:val="000000"/>
        </w:rPr>
        <w:t>единадесет програми</w:t>
      </w:r>
      <w:r w:rsidR="00CD07DE" w:rsidRPr="00823FED">
        <w:rPr>
          <w:rFonts w:ascii="Cambria" w:hAnsi="Cambria" w:cstheme="minorHAnsi"/>
          <w:color w:val="000000"/>
        </w:rPr>
        <w:t>.</w:t>
      </w:r>
      <w:r w:rsidRPr="00823FED">
        <w:rPr>
          <w:rFonts w:ascii="Cambria" w:hAnsi="Cambria" w:cstheme="minorHAnsi"/>
          <w:color w:val="000000"/>
        </w:rPr>
        <w:t xml:space="preserve"> </w:t>
      </w:r>
      <w:r w:rsidR="00412B89" w:rsidRPr="00412B89">
        <w:rPr>
          <w:rFonts w:ascii="Cambria" w:hAnsi="Cambria" w:cstheme="minorHAnsi"/>
          <w:color w:val="000000"/>
        </w:rPr>
        <w:t>В тази рамка се систематизират разнородните дейности на дипломатическата служба, насочени към реализиране на българския национален интерес в сферата на външната политика и на целите, заложени в редица ключови стратегически документи, като Актуализираната стратегия за национална сигурност на Република България; Национална стратегия за българските граждани и историческите български общности по света; Национална програма за развитие 2030; Средносрочна програма за помощ за развитие и хуманитарна помощ за периода 2020-2024 г.; Актуализираната стратегия за развитие на електронното управление 2019-2025 г. От 10 декември 2021 г. дейността на Министерството се ръководи от политиките и мерките, разписани в Приложение 18 „Международни отношения“ към Споразумението за съвместно управление на Република България в период 2021 г. – 2025 г.</w:t>
      </w:r>
    </w:p>
    <w:p w14:paraId="68387D76" w14:textId="77777777" w:rsidR="00C57C51" w:rsidRPr="00823FED" w:rsidRDefault="00C57C51" w:rsidP="00716035">
      <w:pPr>
        <w:spacing w:after="0" w:line="240" w:lineRule="auto"/>
        <w:ind w:firstLine="708"/>
        <w:jc w:val="both"/>
        <w:rPr>
          <w:rFonts w:ascii="Cambria" w:hAnsi="Cambria" w:cstheme="minorHAnsi"/>
          <w:color w:val="000000"/>
        </w:rPr>
      </w:pPr>
    </w:p>
    <w:p w14:paraId="5A31FBAC" w14:textId="77777777" w:rsidR="00C57C51" w:rsidRPr="00823FED" w:rsidRDefault="00C57C51" w:rsidP="00C57C51">
      <w:pPr>
        <w:numPr>
          <w:ilvl w:val="0"/>
          <w:numId w:val="3"/>
        </w:numPr>
        <w:spacing w:after="0" w:line="240" w:lineRule="auto"/>
        <w:jc w:val="both"/>
        <w:rPr>
          <w:rFonts w:ascii="Cambria" w:hAnsi="Cambria" w:cstheme="minorHAnsi"/>
          <w:b/>
          <w:i/>
        </w:rPr>
      </w:pPr>
      <w:r w:rsidRPr="00823FED">
        <w:rPr>
          <w:rFonts w:ascii="Cambria" w:hAnsi="Cambria" w:cstheme="minorHAnsi"/>
          <w:b/>
          <w:i/>
        </w:rPr>
        <w:t>Отговорност за разпределението на публичните разходи за политиката</w:t>
      </w:r>
    </w:p>
    <w:p w14:paraId="4A90CD3A" w14:textId="77777777" w:rsidR="00191852" w:rsidRPr="00823FED" w:rsidRDefault="00191852" w:rsidP="00716035">
      <w:pPr>
        <w:spacing w:after="0" w:line="240" w:lineRule="auto"/>
        <w:jc w:val="both"/>
        <w:rPr>
          <w:rFonts w:ascii="Cambria" w:hAnsi="Cambria" w:cstheme="minorHAnsi"/>
          <w:b/>
          <w:i/>
        </w:rPr>
      </w:pPr>
    </w:p>
    <w:p w14:paraId="7EF9B5AB" w14:textId="77777777" w:rsidR="00C57C51" w:rsidRPr="00823FED" w:rsidRDefault="00C57C51" w:rsidP="00716035">
      <w:pPr>
        <w:spacing w:after="0" w:line="240" w:lineRule="auto"/>
        <w:jc w:val="both"/>
        <w:rPr>
          <w:rFonts w:ascii="Cambria" w:hAnsi="Cambria" w:cstheme="minorHAnsi"/>
          <w:b/>
          <w:i/>
        </w:rPr>
      </w:pPr>
    </w:p>
    <w:p w14:paraId="16FD4D24" w14:textId="77777777" w:rsidR="00091C5B" w:rsidRPr="00823FED" w:rsidRDefault="00D545AA" w:rsidP="00716035">
      <w:pPr>
        <w:shd w:val="clear" w:color="auto" w:fill="FBD4B4" w:themeFill="accent6" w:themeFillTint="66"/>
        <w:spacing w:after="0" w:line="240" w:lineRule="auto"/>
        <w:jc w:val="both"/>
        <w:rPr>
          <w:rFonts w:ascii="Cambria" w:hAnsi="Cambria" w:cstheme="minorHAnsi"/>
          <w:b/>
          <w:caps/>
          <w:color w:val="000000"/>
        </w:rPr>
      </w:pPr>
      <w:r w:rsidRPr="00823FED">
        <w:rPr>
          <w:rFonts w:ascii="Cambria" w:hAnsi="Cambria" w:cstheme="minorHAnsi"/>
          <w:b/>
          <w:caps/>
          <w:shd w:val="clear" w:color="auto" w:fill="FBD4B4" w:themeFill="accent6" w:themeFillTint="66"/>
        </w:rPr>
        <w:t xml:space="preserve">Област на политика: </w:t>
      </w:r>
      <w:r w:rsidR="00C131A1" w:rsidRPr="00823FED">
        <w:rPr>
          <w:rFonts w:ascii="Cambria" w:hAnsi="Cambria" w:cstheme="minorHAnsi"/>
          <w:b/>
          <w:caps/>
          <w:color w:val="000000"/>
          <w:shd w:val="clear" w:color="auto" w:fill="FBD4B4" w:themeFill="accent6" w:themeFillTint="66"/>
        </w:rPr>
        <w:t>„Развитие на ефективна дипломатическа</w:t>
      </w:r>
      <w:r w:rsidR="00C131A1" w:rsidRPr="00823FED">
        <w:rPr>
          <w:rFonts w:ascii="Cambria" w:hAnsi="Cambria" w:cstheme="minorHAnsi"/>
          <w:b/>
          <w:caps/>
          <w:color w:val="000000"/>
        </w:rPr>
        <w:t xml:space="preserve"> служба”</w:t>
      </w:r>
    </w:p>
    <w:p w14:paraId="0E8508F1" w14:textId="77777777" w:rsidR="00191852" w:rsidRPr="00823FED" w:rsidRDefault="00191852" w:rsidP="00716035">
      <w:pPr>
        <w:spacing w:after="0" w:line="240" w:lineRule="auto"/>
        <w:ind w:firstLine="708"/>
        <w:jc w:val="both"/>
        <w:rPr>
          <w:rFonts w:ascii="Cambria" w:hAnsi="Cambria" w:cstheme="minorHAnsi"/>
        </w:rPr>
      </w:pPr>
    </w:p>
    <w:p w14:paraId="20B4B522" w14:textId="27761DAA" w:rsidR="00B740F1" w:rsidRPr="00823FED" w:rsidRDefault="00A11BE2" w:rsidP="00716035">
      <w:pPr>
        <w:spacing w:after="0" w:line="240" w:lineRule="auto"/>
        <w:ind w:firstLine="432"/>
        <w:jc w:val="both"/>
        <w:rPr>
          <w:rFonts w:ascii="Cambria" w:hAnsi="Cambria" w:cstheme="minorHAnsi"/>
        </w:rPr>
      </w:pPr>
      <w:r w:rsidRPr="00823FED">
        <w:rPr>
          <w:rFonts w:ascii="Cambria" w:hAnsi="Cambria" w:cstheme="minorHAnsi"/>
        </w:rPr>
        <w:t>През 2021 г. МВнР продължи да осъществява своята дейност, на базата на прецизен анализ, планиране и реализиране на подбора, развитието и квалификацията на служителите, с цел подобряване на ефективността в работа на структурните звена на министерството, в изпълнение на външнополитическите приоритети на страната</w:t>
      </w:r>
      <w:r w:rsidR="00546319" w:rsidRPr="00823FED">
        <w:rPr>
          <w:rFonts w:ascii="Cambria" w:hAnsi="Cambria" w:cstheme="minorHAnsi"/>
        </w:rPr>
        <w:t>. През отчетния период продължи процесът по управление на професионалното кариерно развитие на дипломатическите служители, усъвършенстването на професионалната и езикова квалификация на служителите в дипломатическата служба, повишаването в дипломатически ранг, годишното атестиране на служителите и ежегодната ротация в дипломатическата служба</w:t>
      </w:r>
      <w:r w:rsidR="00B740F1" w:rsidRPr="00823FED">
        <w:rPr>
          <w:rFonts w:ascii="Cambria" w:hAnsi="Cambria" w:cstheme="minorHAnsi"/>
        </w:rPr>
        <w:t xml:space="preserve">. </w:t>
      </w:r>
    </w:p>
    <w:p w14:paraId="4F9599F0" w14:textId="77777777" w:rsidR="00A11BE2" w:rsidRPr="00823FED" w:rsidRDefault="00A11BE2" w:rsidP="00716035">
      <w:pPr>
        <w:spacing w:after="0" w:line="240" w:lineRule="auto"/>
        <w:ind w:firstLine="432"/>
        <w:jc w:val="both"/>
        <w:rPr>
          <w:rFonts w:ascii="Cambria" w:hAnsi="Cambria" w:cstheme="minorHAnsi"/>
        </w:rPr>
      </w:pPr>
      <w:r w:rsidRPr="00823FED">
        <w:rPr>
          <w:rFonts w:ascii="Cambria" w:hAnsi="Cambria" w:cstheme="minorHAnsi"/>
        </w:rPr>
        <w:t xml:space="preserve">За подобряване </w:t>
      </w:r>
      <w:r w:rsidR="00CD07DE" w:rsidRPr="00823FED">
        <w:rPr>
          <w:rFonts w:ascii="Cambria" w:hAnsi="Cambria" w:cstheme="minorHAnsi"/>
        </w:rPr>
        <w:t xml:space="preserve">функционирането </w:t>
      </w:r>
      <w:r w:rsidRPr="00823FED">
        <w:rPr>
          <w:rFonts w:ascii="Cambria" w:hAnsi="Cambria" w:cstheme="minorHAnsi"/>
        </w:rPr>
        <w:t>на ведомството</w:t>
      </w:r>
      <w:r w:rsidR="00CD07DE" w:rsidRPr="00823FED">
        <w:rPr>
          <w:rFonts w:ascii="Cambria" w:hAnsi="Cambria" w:cstheme="minorHAnsi"/>
        </w:rPr>
        <w:t>,</w:t>
      </w:r>
      <w:r w:rsidRPr="00823FED">
        <w:rPr>
          <w:rFonts w:ascii="Cambria" w:hAnsi="Cambria" w:cstheme="minorHAnsi"/>
        </w:rPr>
        <w:t xml:space="preserve"> продължиха дейностите за оптимизиране на електронната документооборота система в министерството и междуведомствената административна комуникация. </w:t>
      </w:r>
    </w:p>
    <w:p w14:paraId="393F7C0E" w14:textId="77777777" w:rsidR="00CD07DE" w:rsidRPr="00823FED" w:rsidRDefault="00B740F1" w:rsidP="00716035">
      <w:pPr>
        <w:spacing w:after="0" w:line="240" w:lineRule="auto"/>
        <w:ind w:firstLine="432"/>
        <w:jc w:val="both"/>
        <w:rPr>
          <w:rFonts w:ascii="Cambria" w:hAnsi="Cambria" w:cstheme="minorHAnsi"/>
        </w:rPr>
      </w:pPr>
      <w:r w:rsidRPr="00823FED">
        <w:rPr>
          <w:rFonts w:ascii="Cambria" w:hAnsi="Cambria" w:cstheme="minorHAnsi"/>
        </w:rPr>
        <w:t>Продължиха постоянните усилия за развитие и поддържане на информационните и техническите способности в МВнР, в т.ч. и българските задгранични представителства.</w:t>
      </w:r>
      <w:r w:rsidR="00212C89" w:rsidRPr="00823FED">
        <w:rPr>
          <w:rFonts w:ascii="Cambria" w:hAnsi="Cambria" w:cstheme="minorHAnsi"/>
        </w:rPr>
        <w:t xml:space="preserve"> </w:t>
      </w:r>
    </w:p>
    <w:p w14:paraId="53870631" w14:textId="3C06B816" w:rsidR="00B740F1" w:rsidRDefault="00A11BE2" w:rsidP="00716035">
      <w:pPr>
        <w:spacing w:after="0" w:line="240" w:lineRule="auto"/>
        <w:ind w:firstLine="432"/>
        <w:jc w:val="both"/>
        <w:rPr>
          <w:rFonts w:ascii="Cambria" w:hAnsi="Cambria" w:cstheme="minorHAnsi"/>
        </w:rPr>
      </w:pPr>
      <w:r w:rsidRPr="00823FED">
        <w:rPr>
          <w:rFonts w:ascii="Cambria" w:hAnsi="Cambria" w:cstheme="minorHAnsi"/>
        </w:rPr>
        <w:t xml:space="preserve">Предвид продължаващата пандемична обстановка, продължи </w:t>
      </w:r>
      <w:r w:rsidR="00212C89" w:rsidRPr="00823FED">
        <w:rPr>
          <w:rFonts w:ascii="Cambria" w:hAnsi="Cambria" w:cstheme="minorHAnsi"/>
        </w:rPr>
        <w:t>работата на 24-часов</w:t>
      </w:r>
      <w:r w:rsidRPr="00823FED">
        <w:rPr>
          <w:rFonts w:ascii="Cambria" w:hAnsi="Cambria" w:cstheme="minorHAnsi"/>
        </w:rPr>
        <w:t>ия</w:t>
      </w:r>
      <w:r w:rsidR="00212C89" w:rsidRPr="00823FED">
        <w:rPr>
          <w:rFonts w:ascii="Cambria" w:hAnsi="Cambria" w:cstheme="minorHAnsi"/>
        </w:rPr>
        <w:t xml:space="preserve">  </w:t>
      </w:r>
      <w:r w:rsidR="006736E4" w:rsidRPr="00823FED">
        <w:rPr>
          <w:rFonts w:ascii="Cambria" w:hAnsi="Cambria" w:cstheme="minorHAnsi"/>
          <w:bCs/>
          <w:iCs/>
        </w:rPr>
        <w:t>информационен кол</w:t>
      </w:r>
      <w:r w:rsidR="00212C89" w:rsidRPr="00823FED">
        <w:rPr>
          <w:rFonts w:ascii="Cambria" w:hAnsi="Cambria" w:cstheme="minorHAnsi"/>
          <w:bCs/>
          <w:iCs/>
        </w:rPr>
        <w:t>център в МВнР, на който гражданите получават денонощно информация и/или подават сигнали в случай на криза или</w:t>
      </w:r>
      <w:r w:rsidR="006736E4" w:rsidRPr="00823FED">
        <w:rPr>
          <w:rFonts w:ascii="Cambria" w:hAnsi="Cambria" w:cstheme="minorHAnsi"/>
          <w:bCs/>
          <w:iCs/>
        </w:rPr>
        <w:t xml:space="preserve"> инцидент</w:t>
      </w:r>
      <w:r w:rsidR="00212C89" w:rsidRPr="00823FED">
        <w:rPr>
          <w:rFonts w:ascii="Cambria" w:hAnsi="Cambria" w:cstheme="minorHAnsi"/>
          <w:bCs/>
          <w:iCs/>
        </w:rPr>
        <w:t>.</w:t>
      </w:r>
      <w:r w:rsidR="00B740F1" w:rsidRPr="00823FED">
        <w:rPr>
          <w:rFonts w:ascii="Cambria" w:hAnsi="Cambria" w:cstheme="minorHAnsi"/>
        </w:rPr>
        <w:t xml:space="preserve"> </w:t>
      </w:r>
      <w:r w:rsidRPr="00823FED">
        <w:rPr>
          <w:rFonts w:ascii="Cambria" w:hAnsi="Cambria" w:cstheme="minorHAnsi"/>
        </w:rPr>
        <w:t xml:space="preserve">Също така продължи поддържането и своевременното </w:t>
      </w:r>
      <w:r w:rsidR="00546319" w:rsidRPr="00823FED">
        <w:rPr>
          <w:rFonts w:ascii="Cambria" w:hAnsi="Cambria" w:cstheme="minorHAnsi"/>
        </w:rPr>
        <w:t>актуализиране</w:t>
      </w:r>
      <w:r w:rsidRPr="00823FED">
        <w:rPr>
          <w:rFonts w:ascii="Cambria" w:hAnsi="Cambria" w:cstheme="minorHAnsi"/>
        </w:rPr>
        <w:t xml:space="preserve"> на</w:t>
      </w:r>
      <w:r w:rsidR="00212C89" w:rsidRPr="00823FED">
        <w:rPr>
          <w:rFonts w:ascii="Cambria" w:hAnsi="Cambria" w:cstheme="minorHAnsi"/>
        </w:rPr>
        <w:t xml:space="preserve"> </w:t>
      </w:r>
      <w:r w:rsidR="00212C89" w:rsidRPr="00823FED">
        <w:rPr>
          <w:rFonts w:ascii="Cambria" w:hAnsi="Cambria" w:cstheme="minorHAnsi"/>
          <w:bCs/>
          <w:iCs/>
        </w:rPr>
        <w:t>интерактивна</w:t>
      </w:r>
      <w:r w:rsidRPr="00823FED">
        <w:rPr>
          <w:rFonts w:ascii="Cambria" w:hAnsi="Cambria" w:cstheme="minorHAnsi"/>
          <w:bCs/>
          <w:iCs/>
        </w:rPr>
        <w:t>та</w:t>
      </w:r>
      <w:r w:rsidR="00212C89" w:rsidRPr="00823FED">
        <w:rPr>
          <w:rFonts w:ascii="Cambria" w:hAnsi="Cambria" w:cstheme="minorHAnsi"/>
          <w:bCs/>
          <w:iCs/>
        </w:rPr>
        <w:t xml:space="preserve"> карта на света на интернет страницата на МВнР – „Корона</w:t>
      </w:r>
      <w:r w:rsidR="00DC02F3" w:rsidRPr="00823FED">
        <w:rPr>
          <w:rFonts w:ascii="Cambria" w:hAnsi="Cambria" w:cstheme="minorHAnsi"/>
          <w:bCs/>
          <w:iCs/>
        </w:rPr>
        <w:t xml:space="preserve"> </w:t>
      </w:r>
      <w:r w:rsidR="00212C89" w:rsidRPr="00823FED">
        <w:rPr>
          <w:rFonts w:ascii="Cambria" w:hAnsi="Cambria" w:cstheme="minorHAnsi"/>
          <w:bCs/>
          <w:iCs/>
        </w:rPr>
        <w:t xml:space="preserve">вирусът – как да пътуваме“, в която се помества и актуализира 24/7 </w:t>
      </w:r>
      <w:r w:rsidRPr="00823FED">
        <w:rPr>
          <w:rFonts w:ascii="Cambria" w:hAnsi="Cambria" w:cstheme="minorHAnsi"/>
          <w:bCs/>
          <w:iCs/>
        </w:rPr>
        <w:t xml:space="preserve">с </w:t>
      </w:r>
      <w:r w:rsidR="00212C89" w:rsidRPr="00823FED">
        <w:rPr>
          <w:rFonts w:ascii="Cambria" w:hAnsi="Cambria" w:cstheme="minorHAnsi"/>
          <w:bCs/>
          <w:iCs/>
        </w:rPr>
        <w:t>информация за условията и мерките за пътуване в условията на пандемията за всяка една държава</w:t>
      </w:r>
      <w:r w:rsidR="00212C89" w:rsidRPr="00823FED">
        <w:rPr>
          <w:rFonts w:ascii="Cambria" w:hAnsi="Cambria" w:cstheme="minorHAnsi"/>
        </w:rPr>
        <w:t>.</w:t>
      </w:r>
      <w:r w:rsidR="00B740F1" w:rsidRPr="00823FED">
        <w:rPr>
          <w:rFonts w:ascii="Cambria" w:hAnsi="Cambria" w:cstheme="minorHAnsi"/>
        </w:rPr>
        <w:t xml:space="preserve"> </w:t>
      </w:r>
    </w:p>
    <w:p w14:paraId="68D0EC72" w14:textId="77777777" w:rsidR="009C0586" w:rsidRDefault="009C0586" w:rsidP="00716035">
      <w:pPr>
        <w:spacing w:after="0" w:line="240" w:lineRule="auto"/>
        <w:ind w:firstLine="432"/>
        <w:jc w:val="both"/>
        <w:rPr>
          <w:rFonts w:ascii="Cambria" w:hAnsi="Cambria" w:cstheme="minorHAnsi"/>
        </w:rPr>
      </w:pPr>
    </w:p>
    <w:p w14:paraId="76866E92" w14:textId="77777777" w:rsidR="00EF4D9A" w:rsidRPr="00823FED" w:rsidRDefault="00EF4D9A" w:rsidP="00716035">
      <w:pPr>
        <w:spacing w:after="0" w:line="240" w:lineRule="auto"/>
        <w:ind w:firstLine="432"/>
        <w:jc w:val="both"/>
        <w:rPr>
          <w:rFonts w:ascii="Cambria" w:hAnsi="Cambria" w:cstheme="minorHAnsi"/>
        </w:rPr>
      </w:pPr>
    </w:p>
    <w:tbl>
      <w:tblPr>
        <w:tblStyle w:val="1"/>
        <w:tblW w:w="9355" w:type="dxa"/>
        <w:tblLook w:val="04A0" w:firstRow="1" w:lastRow="0" w:firstColumn="1" w:lastColumn="0" w:noHBand="0" w:noVBand="1"/>
      </w:tblPr>
      <w:tblGrid>
        <w:gridCol w:w="2965"/>
        <w:gridCol w:w="3693"/>
        <w:gridCol w:w="2697"/>
      </w:tblGrid>
      <w:tr w:rsidR="00EF4D9A" w:rsidRPr="00EF4D9A" w14:paraId="2BDC8F05" w14:textId="77777777" w:rsidTr="00044D8E">
        <w:tc>
          <w:tcPr>
            <w:tcW w:w="9355" w:type="dxa"/>
            <w:gridSpan w:val="3"/>
            <w:shd w:val="clear" w:color="auto" w:fill="FABF8F" w:themeFill="accent6" w:themeFillTint="99"/>
          </w:tcPr>
          <w:p w14:paraId="1EBE1241" w14:textId="77777777" w:rsidR="00EF4D9A" w:rsidRPr="009C0586" w:rsidRDefault="00EF4D9A" w:rsidP="009C0586">
            <w:pPr>
              <w:jc w:val="center"/>
              <w:rPr>
                <w:rFonts w:ascii="Cambria" w:hAnsi="Cambria" w:cstheme="minorHAnsi"/>
                <w:b/>
                <w:bCs/>
              </w:rPr>
            </w:pPr>
            <w:r w:rsidRPr="009C0586">
              <w:rPr>
                <w:rFonts w:ascii="Cambria" w:hAnsi="Cambria" w:cstheme="minorHAnsi"/>
                <w:b/>
                <w:bCs/>
              </w:rPr>
              <w:t>КЛЮЧОВИ ИНДИКАТОРИ ЗА ИЗПЪЛНЕНИЕ И ЦЕЛЕВИ СТОЙНОСТИ</w:t>
            </w:r>
          </w:p>
          <w:p w14:paraId="629AEFCD" w14:textId="77777777" w:rsidR="00EF4D9A" w:rsidRDefault="00EF4D9A" w:rsidP="009C0586">
            <w:pPr>
              <w:jc w:val="center"/>
              <w:rPr>
                <w:rFonts w:ascii="Cambria" w:hAnsi="Cambria" w:cstheme="minorHAnsi"/>
                <w:b/>
                <w:bCs/>
              </w:rPr>
            </w:pPr>
            <w:r w:rsidRPr="009C0586">
              <w:rPr>
                <w:rFonts w:ascii="Cambria" w:hAnsi="Cambria" w:cstheme="minorHAnsi"/>
                <w:b/>
                <w:bCs/>
              </w:rPr>
              <w:t>Област на политика „Развитие на ефективна дипломатическа служба“</w:t>
            </w:r>
          </w:p>
          <w:p w14:paraId="7CCEFD69" w14:textId="00589D66" w:rsidR="009C0586" w:rsidRPr="009C0586" w:rsidRDefault="009C0586" w:rsidP="009C0586">
            <w:pPr>
              <w:jc w:val="center"/>
              <w:rPr>
                <w:rFonts w:ascii="Cambria" w:hAnsi="Cambria" w:cstheme="minorHAnsi"/>
                <w:b/>
                <w:bCs/>
              </w:rPr>
            </w:pPr>
          </w:p>
        </w:tc>
      </w:tr>
      <w:tr w:rsidR="00EF4D9A" w:rsidRPr="00EF4D9A" w14:paraId="31AFB79A" w14:textId="77777777" w:rsidTr="009C0586">
        <w:tc>
          <w:tcPr>
            <w:tcW w:w="2965" w:type="dxa"/>
            <w:shd w:val="clear" w:color="auto" w:fill="FABF8F" w:themeFill="accent6" w:themeFillTint="99"/>
          </w:tcPr>
          <w:p w14:paraId="47677F9E" w14:textId="77777777" w:rsidR="00EF4D9A" w:rsidRPr="00EF4D9A" w:rsidRDefault="00EF4D9A" w:rsidP="009C0586">
            <w:pPr>
              <w:jc w:val="center"/>
              <w:rPr>
                <w:rFonts w:ascii="Times New Roman" w:hAnsi="Times New Roman" w:cs="Times New Roman"/>
                <w:sz w:val="24"/>
                <w:szCs w:val="24"/>
              </w:rPr>
            </w:pPr>
            <w:r w:rsidRPr="00EF4D9A">
              <w:rPr>
                <w:rFonts w:ascii="Times New Roman" w:hAnsi="Times New Roman" w:cs="Times New Roman"/>
                <w:b/>
                <w:bCs/>
                <w:sz w:val="24"/>
                <w:szCs w:val="24"/>
              </w:rPr>
              <w:t>Наименование на индикатора</w:t>
            </w:r>
          </w:p>
        </w:tc>
        <w:tc>
          <w:tcPr>
            <w:tcW w:w="3693" w:type="dxa"/>
            <w:shd w:val="clear" w:color="auto" w:fill="FABF8F" w:themeFill="accent6" w:themeFillTint="99"/>
          </w:tcPr>
          <w:p w14:paraId="6897B134" w14:textId="77777777" w:rsidR="00EF4D9A" w:rsidRPr="00EF4D9A" w:rsidRDefault="00EF4D9A" w:rsidP="009C0586">
            <w:pPr>
              <w:jc w:val="center"/>
              <w:rPr>
                <w:rFonts w:ascii="Times New Roman" w:hAnsi="Times New Roman" w:cs="Times New Roman"/>
                <w:sz w:val="24"/>
                <w:szCs w:val="24"/>
              </w:rPr>
            </w:pPr>
            <w:r w:rsidRPr="00EF4D9A">
              <w:rPr>
                <w:rFonts w:ascii="Times New Roman" w:hAnsi="Times New Roman" w:cs="Times New Roman"/>
                <w:b/>
                <w:bCs/>
                <w:sz w:val="24"/>
                <w:szCs w:val="24"/>
              </w:rPr>
              <w:t>Мерна единица</w:t>
            </w:r>
          </w:p>
        </w:tc>
        <w:tc>
          <w:tcPr>
            <w:tcW w:w="2697" w:type="dxa"/>
            <w:shd w:val="clear" w:color="auto" w:fill="FABF8F" w:themeFill="accent6" w:themeFillTint="99"/>
          </w:tcPr>
          <w:p w14:paraId="1E760BCF" w14:textId="77777777" w:rsidR="00EF4D9A" w:rsidRPr="00EF4D9A" w:rsidRDefault="00EF4D9A" w:rsidP="009C0586">
            <w:pPr>
              <w:jc w:val="center"/>
              <w:rPr>
                <w:rFonts w:ascii="Times New Roman" w:hAnsi="Times New Roman" w:cs="Times New Roman"/>
                <w:sz w:val="24"/>
                <w:szCs w:val="24"/>
              </w:rPr>
            </w:pPr>
            <w:r w:rsidRPr="00EF4D9A">
              <w:rPr>
                <w:rFonts w:ascii="Times New Roman" w:hAnsi="Times New Roman" w:cs="Times New Roman"/>
                <w:b/>
                <w:bCs/>
                <w:iCs/>
                <w:sz w:val="24"/>
                <w:szCs w:val="24"/>
              </w:rPr>
              <w:t>Отчет 202</w:t>
            </w:r>
            <w:r w:rsidRPr="00EF4D9A">
              <w:rPr>
                <w:rFonts w:ascii="Times New Roman" w:hAnsi="Times New Roman" w:cs="Times New Roman"/>
                <w:b/>
                <w:bCs/>
                <w:iCs/>
                <w:sz w:val="24"/>
                <w:szCs w:val="24"/>
                <w:lang w:val="en-US"/>
              </w:rPr>
              <w:t>1</w:t>
            </w:r>
            <w:r w:rsidRPr="00EF4D9A">
              <w:rPr>
                <w:rFonts w:ascii="Times New Roman" w:hAnsi="Times New Roman" w:cs="Times New Roman"/>
                <w:b/>
                <w:bCs/>
                <w:iCs/>
                <w:sz w:val="24"/>
                <w:szCs w:val="24"/>
              </w:rPr>
              <w:t xml:space="preserve"> г.</w:t>
            </w:r>
          </w:p>
        </w:tc>
      </w:tr>
      <w:tr w:rsidR="00EF4D9A" w:rsidRPr="00EF4D9A" w14:paraId="612F0691" w14:textId="77777777" w:rsidTr="009C0586">
        <w:trPr>
          <w:trHeight w:val="507"/>
        </w:trPr>
        <w:tc>
          <w:tcPr>
            <w:tcW w:w="2965" w:type="dxa"/>
          </w:tcPr>
          <w:p w14:paraId="3D2359A6" w14:textId="77777777" w:rsidR="00EF4D9A" w:rsidRPr="00EF4D9A" w:rsidRDefault="00EF4D9A" w:rsidP="00EF4D9A">
            <w:pPr>
              <w:rPr>
                <w:rFonts w:ascii="Times New Roman" w:hAnsi="Times New Roman" w:cs="Times New Roman"/>
                <w:sz w:val="24"/>
                <w:szCs w:val="24"/>
              </w:rPr>
            </w:pPr>
            <w:r w:rsidRPr="00EF4D9A">
              <w:rPr>
                <w:rFonts w:ascii="Times New Roman" w:hAnsi="Times New Roman" w:cs="Times New Roman"/>
                <w:b/>
                <w:sz w:val="24"/>
                <w:szCs w:val="24"/>
              </w:rPr>
              <w:t>Управление на човешките ресурси</w:t>
            </w:r>
          </w:p>
        </w:tc>
        <w:tc>
          <w:tcPr>
            <w:tcW w:w="3693" w:type="dxa"/>
          </w:tcPr>
          <w:p w14:paraId="103312D2" w14:textId="77777777" w:rsidR="00EF4D9A" w:rsidRPr="00EF4D9A" w:rsidRDefault="00EF4D9A" w:rsidP="00EF4D9A">
            <w:pPr>
              <w:rPr>
                <w:rFonts w:ascii="Times New Roman" w:hAnsi="Times New Roman" w:cs="Times New Roman"/>
                <w:sz w:val="24"/>
                <w:szCs w:val="24"/>
              </w:rPr>
            </w:pPr>
            <w:r w:rsidRPr="00EF4D9A">
              <w:rPr>
                <w:rFonts w:ascii="Times New Roman" w:hAnsi="Times New Roman" w:cs="Times New Roman"/>
                <w:sz w:val="24"/>
                <w:szCs w:val="24"/>
              </w:rPr>
              <w:t>Заседания на Кариерна комисия</w:t>
            </w:r>
          </w:p>
        </w:tc>
        <w:tc>
          <w:tcPr>
            <w:tcW w:w="2697" w:type="dxa"/>
          </w:tcPr>
          <w:p w14:paraId="1265A9C8" w14:textId="77777777" w:rsidR="00EF4D9A" w:rsidRPr="00EF4D9A" w:rsidRDefault="00EF4D9A" w:rsidP="00EF4D9A">
            <w:pPr>
              <w:rPr>
                <w:rFonts w:ascii="Times New Roman" w:hAnsi="Times New Roman" w:cs="Times New Roman"/>
                <w:sz w:val="24"/>
                <w:szCs w:val="24"/>
              </w:rPr>
            </w:pPr>
            <w:r w:rsidRPr="00EF4D9A">
              <w:rPr>
                <w:rFonts w:ascii="Times New Roman" w:hAnsi="Times New Roman" w:cs="Times New Roman"/>
                <w:sz w:val="24"/>
                <w:szCs w:val="24"/>
              </w:rPr>
              <w:t>9</w:t>
            </w:r>
          </w:p>
        </w:tc>
      </w:tr>
      <w:tr w:rsidR="00EF4D9A" w:rsidRPr="00EF4D9A" w14:paraId="4D4CEFAC" w14:textId="77777777" w:rsidTr="009C0586">
        <w:trPr>
          <w:trHeight w:val="1453"/>
        </w:trPr>
        <w:tc>
          <w:tcPr>
            <w:tcW w:w="2965" w:type="dxa"/>
          </w:tcPr>
          <w:p w14:paraId="641BC942" w14:textId="77777777" w:rsidR="00EF4D9A" w:rsidRPr="00EF4D9A" w:rsidRDefault="00EF4D9A" w:rsidP="00EF4D9A">
            <w:pPr>
              <w:rPr>
                <w:rFonts w:ascii="Times New Roman" w:hAnsi="Times New Roman" w:cs="Times New Roman"/>
                <w:sz w:val="24"/>
                <w:szCs w:val="24"/>
              </w:rPr>
            </w:pPr>
            <w:r w:rsidRPr="00EF4D9A">
              <w:rPr>
                <w:rFonts w:ascii="Times New Roman" w:hAnsi="Times New Roman" w:cs="Times New Roman"/>
                <w:b/>
                <w:sz w:val="24"/>
                <w:szCs w:val="24"/>
              </w:rPr>
              <w:t xml:space="preserve">Оптимално управление и поддръжка на сградния фонд </w:t>
            </w:r>
          </w:p>
          <w:p w14:paraId="1904C7FD" w14:textId="77777777" w:rsidR="00EF4D9A" w:rsidRPr="00EF4D9A" w:rsidRDefault="00EF4D9A" w:rsidP="00EF4D9A">
            <w:pPr>
              <w:rPr>
                <w:rFonts w:ascii="Times New Roman" w:hAnsi="Times New Roman" w:cs="Times New Roman"/>
                <w:sz w:val="24"/>
                <w:szCs w:val="24"/>
              </w:rPr>
            </w:pPr>
          </w:p>
        </w:tc>
        <w:tc>
          <w:tcPr>
            <w:tcW w:w="3693" w:type="dxa"/>
          </w:tcPr>
          <w:p w14:paraId="6778F4AC" w14:textId="77777777" w:rsidR="00EF4D9A" w:rsidRPr="00EF4D9A" w:rsidRDefault="00EF4D9A" w:rsidP="00EF4D9A">
            <w:pPr>
              <w:rPr>
                <w:rFonts w:ascii="Times New Roman" w:hAnsi="Times New Roman" w:cs="Times New Roman"/>
                <w:sz w:val="24"/>
                <w:szCs w:val="24"/>
              </w:rPr>
            </w:pPr>
            <w:r w:rsidRPr="00EF4D9A">
              <w:rPr>
                <w:rFonts w:ascii="Times New Roman" w:hAnsi="Times New Roman" w:cs="Times New Roman"/>
                <w:sz w:val="24"/>
                <w:szCs w:val="24"/>
              </w:rPr>
              <w:t xml:space="preserve">Планови ремонти </w:t>
            </w:r>
          </w:p>
        </w:tc>
        <w:tc>
          <w:tcPr>
            <w:tcW w:w="2697" w:type="dxa"/>
          </w:tcPr>
          <w:p w14:paraId="264F5A6E" w14:textId="77777777" w:rsidR="00EF4D9A" w:rsidRPr="00EF4D9A" w:rsidRDefault="00EF4D9A" w:rsidP="00EF4D9A">
            <w:pPr>
              <w:rPr>
                <w:rFonts w:ascii="Times New Roman" w:hAnsi="Times New Roman" w:cs="Times New Roman"/>
                <w:sz w:val="24"/>
                <w:szCs w:val="24"/>
              </w:rPr>
            </w:pPr>
            <w:r w:rsidRPr="00EF4D9A">
              <w:rPr>
                <w:rFonts w:ascii="Times New Roman" w:hAnsi="Times New Roman" w:cs="Times New Roman"/>
                <w:sz w:val="24"/>
                <w:szCs w:val="24"/>
              </w:rPr>
              <w:t>Посочени са в целевите стойности на показателите за изпълнение в Програма 1 на програмния бюджет на МВнР</w:t>
            </w:r>
          </w:p>
        </w:tc>
      </w:tr>
      <w:tr w:rsidR="00EF4D9A" w:rsidRPr="00EF4D9A" w14:paraId="7C2C433E" w14:textId="77777777" w:rsidTr="009C0586">
        <w:tc>
          <w:tcPr>
            <w:tcW w:w="2965" w:type="dxa"/>
          </w:tcPr>
          <w:p w14:paraId="1B937ECA" w14:textId="77777777" w:rsidR="00EF4D9A" w:rsidRPr="00EF4D9A" w:rsidRDefault="00EF4D9A" w:rsidP="00EF4D9A">
            <w:pPr>
              <w:rPr>
                <w:rFonts w:ascii="Times New Roman" w:hAnsi="Times New Roman" w:cs="Times New Roman"/>
                <w:sz w:val="24"/>
                <w:szCs w:val="24"/>
              </w:rPr>
            </w:pPr>
            <w:r w:rsidRPr="00EF4D9A">
              <w:rPr>
                <w:rFonts w:ascii="Times New Roman" w:hAnsi="Times New Roman" w:cs="Times New Roman"/>
                <w:b/>
                <w:sz w:val="24"/>
                <w:szCs w:val="24"/>
              </w:rPr>
              <w:t>Ефективно финансово и бюджетно управление</w:t>
            </w:r>
          </w:p>
        </w:tc>
        <w:tc>
          <w:tcPr>
            <w:tcW w:w="3693" w:type="dxa"/>
          </w:tcPr>
          <w:p w14:paraId="0473D50B" w14:textId="77777777" w:rsidR="00EF4D9A" w:rsidRPr="00EF4D9A" w:rsidRDefault="00EF4D9A" w:rsidP="00EF4D9A">
            <w:pPr>
              <w:rPr>
                <w:rFonts w:ascii="Times New Roman" w:hAnsi="Times New Roman" w:cs="Times New Roman"/>
                <w:sz w:val="24"/>
                <w:szCs w:val="24"/>
              </w:rPr>
            </w:pPr>
            <w:r w:rsidRPr="00EF4D9A">
              <w:rPr>
                <w:rFonts w:ascii="Times New Roman" w:hAnsi="Times New Roman" w:cs="Times New Roman"/>
                <w:sz w:val="24"/>
                <w:szCs w:val="24"/>
              </w:rPr>
              <w:t>Финансово обезпечаване на дипломатическата служба</w:t>
            </w:r>
          </w:p>
        </w:tc>
        <w:tc>
          <w:tcPr>
            <w:tcW w:w="2697" w:type="dxa"/>
          </w:tcPr>
          <w:p w14:paraId="6AC0A950" w14:textId="77777777" w:rsidR="00EF4D9A" w:rsidRPr="00EF4D9A" w:rsidRDefault="00EF4D9A" w:rsidP="00EF4D9A">
            <w:pPr>
              <w:rPr>
                <w:rFonts w:ascii="Times New Roman" w:hAnsi="Times New Roman" w:cs="Times New Roman"/>
                <w:sz w:val="24"/>
                <w:szCs w:val="24"/>
              </w:rPr>
            </w:pPr>
            <w:r w:rsidRPr="00EF4D9A">
              <w:rPr>
                <w:rFonts w:ascii="Times New Roman" w:hAnsi="Times New Roman" w:cs="Times New Roman"/>
                <w:sz w:val="24"/>
                <w:szCs w:val="24"/>
              </w:rPr>
              <w:t>100 %</w:t>
            </w:r>
          </w:p>
        </w:tc>
      </w:tr>
      <w:tr w:rsidR="00EF4D9A" w:rsidRPr="00EF4D9A" w14:paraId="6E7D9972" w14:textId="77777777" w:rsidTr="009C0586">
        <w:tc>
          <w:tcPr>
            <w:tcW w:w="2965" w:type="dxa"/>
          </w:tcPr>
          <w:p w14:paraId="491C91EA" w14:textId="77777777" w:rsidR="00EF4D9A" w:rsidRPr="00EF4D9A" w:rsidRDefault="00EF4D9A" w:rsidP="00EF4D9A">
            <w:pPr>
              <w:rPr>
                <w:rFonts w:ascii="Times New Roman" w:hAnsi="Times New Roman" w:cs="Times New Roman"/>
                <w:sz w:val="24"/>
                <w:szCs w:val="24"/>
              </w:rPr>
            </w:pPr>
            <w:r w:rsidRPr="00EF4D9A">
              <w:rPr>
                <w:rFonts w:ascii="Times New Roman" w:hAnsi="Times New Roman" w:cs="Times New Roman"/>
                <w:b/>
                <w:sz w:val="24"/>
                <w:szCs w:val="24"/>
              </w:rPr>
              <w:t>Развитие на информационни системи и технологии</w:t>
            </w:r>
          </w:p>
        </w:tc>
        <w:tc>
          <w:tcPr>
            <w:tcW w:w="3693" w:type="dxa"/>
          </w:tcPr>
          <w:p w14:paraId="6816A987" w14:textId="77777777" w:rsidR="00EF4D9A" w:rsidRPr="00EF4D9A" w:rsidRDefault="00EF4D9A" w:rsidP="00EF4D9A">
            <w:pPr>
              <w:rPr>
                <w:rFonts w:ascii="Times New Roman" w:hAnsi="Times New Roman" w:cs="Times New Roman"/>
                <w:sz w:val="24"/>
                <w:szCs w:val="24"/>
              </w:rPr>
            </w:pPr>
            <w:r w:rsidRPr="00EF4D9A">
              <w:rPr>
                <w:rFonts w:ascii="Times New Roman" w:hAnsi="Times New Roman" w:cs="Times New Roman"/>
                <w:sz w:val="24"/>
                <w:szCs w:val="24"/>
              </w:rPr>
              <w:t>Степен на привеждане на ведомствената информационна и комуникационна инфраструктура в съответствие с програмата за електронно управление и изискванията за защита на информацията</w:t>
            </w:r>
          </w:p>
        </w:tc>
        <w:tc>
          <w:tcPr>
            <w:tcW w:w="2697" w:type="dxa"/>
          </w:tcPr>
          <w:p w14:paraId="487292FC" w14:textId="77777777" w:rsidR="00EF4D9A" w:rsidRPr="00EF4D9A" w:rsidRDefault="00EF4D9A" w:rsidP="00EF4D9A">
            <w:pPr>
              <w:rPr>
                <w:rFonts w:ascii="Times New Roman" w:hAnsi="Times New Roman" w:cs="Times New Roman"/>
                <w:sz w:val="24"/>
                <w:szCs w:val="24"/>
              </w:rPr>
            </w:pPr>
            <w:r w:rsidRPr="00EF4D9A">
              <w:rPr>
                <w:rFonts w:ascii="Times New Roman" w:hAnsi="Times New Roman" w:cs="Times New Roman"/>
                <w:sz w:val="24"/>
                <w:szCs w:val="24"/>
              </w:rPr>
              <w:t>100 %</w:t>
            </w:r>
          </w:p>
        </w:tc>
      </w:tr>
    </w:tbl>
    <w:p w14:paraId="7E056F39" w14:textId="77777777" w:rsidR="00812B10" w:rsidRPr="00823FED" w:rsidRDefault="00812B10" w:rsidP="00716035">
      <w:pPr>
        <w:spacing w:after="0" w:line="240" w:lineRule="auto"/>
        <w:jc w:val="both"/>
        <w:rPr>
          <w:rFonts w:ascii="Cambria" w:hAnsi="Cambria" w:cstheme="minorHAnsi"/>
        </w:rPr>
      </w:pPr>
    </w:p>
    <w:p w14:paraId="7B8AE622" w14:textId="77777777" w:rsidR="009D0620" w:rsidRPr="00823FED" w:rsidRDefault="009D0620" w:rsidP="00716035">
      <w:pPr>
        <w:spacing w:after="0" w:line="240" w:lineRule="auto"/>
        <w:jc w:val="both"/>
        <w:rPr>
          <w:rFonts w:ascii="Cambria" w:hAnsi="Cambria" w:cstheme="minorHAnsi"/>
          <w:b/>
          <w:bCs/>
          <w:color w:val="548DD4" w:themeColor="text2" w:themeTint="99"/>
        </w:rPr>
      </w:pPr>
      <w:r w:rsidRPr="00823FED">
        <w:rPr>
          <w:rFonts w:ascii="Cambria" w:hAnsi="Cambria" w:cstheme="minorHAnsi"/>
          <w:b/>
          <w:bCs/>
          <w:color w:val="548DD4" w:themeColor="text2" w:themeTint="99"/>
        </w:rPr>
        <w:t xml:space="preserve">По отношение на набелязаните ключови индикатори следва да се отчете: </w:t>
      </w:r>
    </w:p>
    <w:p w14:paraId="1AABB2EB" w14:textId="77777777" w:rsidR="009D0620" w:rsidRPr="00823FED" w:rsidRDefault="009D0620" w:rsidP="00716035">
      <w:pPr>
        <w:spacing w:after="0" w:line="240" w:lineRule="auto"/>
        <w:jc w:val="both"/>
        <w:rPr>
          <w:rFonts w:ascii="Cambria" w:hAnsi="Cambria" w:cstheme="minorHAnsi"/>
          <w:b/>
          <w:bCs/>
          <w:color w:val="548DD4" w:themeColor="text2" w:themeTint="99"/>
        </w:rPr>
      </w:pPr>
    </w:p>
    <w:p w14:paraId="47FBB1EB" w14:textId="77777777" w:rsidR="0037006C" w:rsidRPr="00823FED" w:rsidRDefault="00DB7021" w:rsidP="00716035">
      <w:pPr>
        <w:spacing w:after="0" w:line="240" w:lineRule="auto"/>
        <w:jc w:val="both"/>
        <w:rPr>
          <w:rFonts w:ascii="Cambria" w:hAnsi="Cambria" w:cstheme="minorHAnsi"/>
          <w:color w:val="548DD4" w:themeColor="text2" w:themeTint="99"/>
        </w:rPr>
      </w:pPr>
      <w:r w:rsidRPr="00823FED">
        <w:rPr>
          <w:rFonts w:ascii="Cambria" w:hAnsi="Cambria" w:cstheme="minorHAnsi"/>
          <w:b/>
          <w:bCs/>
          <w:color w:val="548DD4" w:themeColor="text2" w:themeTint="99"/>
        </w:rPr>
        <w:t>Управление на човешките ресурси:</w:t>
      </w:r>
      <w:r w:rsidRPr="00823FED">
        <w:rPr>
          <w:rFonts w:ascii="Cambria" w:hAnsi="Cambria" w:cstheme="minorHAnsi"/>
          <w:color w:val="548DD4" w:themeColor="text2" w:themeTint="99"/>
        </w:rPr>
        <w:t xml:space="preserve"> </w:t>
      </w:r>
    </w:p>
    <w:p w14:paraId="1DE56854" w14:textId="5A8C9546" w:rsidR="00DB7021" w:rsidRPr="00823FED" w:rsidRDefault="00E32E50" w:rsidP="00546319">
      <w:pPr>
        <w:spacing w:after="0" w:line="240" w:lineRule="auto"/>
        <w:ind w:firstLine="432"/>
        <w:jc w:val="both"/>
        <w:rPr>
          <w:rFonts w:ascii="Cambria" w:hAnsi="Cambria" w:cstheme="minorHAnsi"/>
        </w:rPr>
      </w:pPr>
      <w:r w:rsidRPr="00823FED">
        <w:rPr>
          <w:rFonts w:ascii="Cambria" w:hAnsi="Cambria" w:cstheme="minorHAnsi"/>
        </w:rPr>
        <w:t>През</w:t>
      </w:r>
      <w:r w:rsidR="00546319" w:rsidRPr="00823FED">
        <w:rPr>
          <w:rFonts w:ascii="Cambria" w:hAnsi="Cambria" w:cstheme="minorHAnsi"/>
        </w:rPr>
        <w:t xml:space="preserve"> </w:t>
      </w:r>
      <w:r w:rsidRPr="00823FED">
        <w:rPr>
          <w:rFonts w:ascii="Cambria" w:hAnsi="Cambria" w:cstheme="minorHAnsi"/>
        </w:rPr>
        <w:t>202</w:t>
      </w:r>
      <w:r w:rsidR="00546319" w:rsidRPr="00823FED">
        <w:rPr>
          <w:rFonts w:ascii="Cambria" w:hAnsi="Cambria" w:cstheme="minorHAnsi"/>
        </w:rPr>
        <w:t>1</w:t>
      </w:r>
      <w:r w:rsidRPr="00823FED">
        <w:rPr>
          <w:rFonts w:ascii="Cambria" w:hAnsi="Cambria" w:cstheme="minorHAnsi"/>
        </w:rPr>
        <w:t xml:space="preserve"> г. бяха организирани и проведени </w:t>
      </w:r>
      <w:r w:rsidR="00D54760">
        <w:rPr>
          <w:rFonts w:ascii="Cambria" w:hAnsi="Cambria" w:cstheme="minorHAnsi"/>
        </w:rPr>
        <w:t>7</w:t>
      </w:r>
      <w:r w:rsidRPr="00823FED">
        <w:rPr>
          <w:rFonts w:ascii="Cambria" w:hAnsi="Cambria" w:cstheme="minorHAnsi"/>
        </w:rPr>
        <w:t xml:space="preserve"> редовни заседания на Кариерната комисия към Министъра на външните</w:t>
      </w:r>
      <w:r w:rsidR="006736E4" w:rsidRPr="00823FED">
        <w:rPr>
          <w:rFonts w:ascii="Cambria" w:hAnsi="Cambria" w:cstheme="minorHAnsi"/>
        </w:rPr>
        <w:t xml:space="preserve"> работи</w:t>
      </w:r>
      <w:r w:rsidR="001220A2" w:rsidRPr="00823FED">
        <w:rPr>
          <w:rFonts w:ascii="Cambria" w:hAnsi="Cambria" w:cstheme="minorHAnsi"/>
        </w:rPr>
        <w:t>.</w:t>
      </w:r>
      <w:r w:rsidR="006736E4" w:rsidRPr="00823FED">
        <w:rPr>
          <w:rFonts w:ascii="Cambria" w:hAnsi="Cambria" w:cstheme="minorHAnsi"/>
        </w:rPr>
        <w:t xml:space="preserve"> </w:t>
      </w:r>
      <w:r w:rsidR="001220A2" w:rsidRPr="00823FED">
        <w:rPr>
          <w:rFonts w:ascii="Cambria" w:hAnsi="Cambria" w:cstheme="minorHAnsi"/>
        </w:rPr>
        <w:t xml:space="preserve">Бяха разгледани постъпилите кандидатури във връзка с обявените на подлежащите на допълнителна ротация 2021 незаети и </w:t>
      </w:r>
      <w:r w:rsidR="001220A2" w:rsidRPr="00823FED">
        <w:rPr>
          <w:rFonts w:ascii="Cambria" w:hAnsi="Cambria" w:cstheme="minorHAnsi"/>
        </w:rPr>
        <w:lastRenderedPageBreak/>
        <w:t>предсрочно овакантяващи се дипломатически и административно-технически длъжности в дипломатическите и консулските представителства на Република България, както и постъпилите кандидатури за заемане на свободните и освобождаващи се през настоящата година в рамките на обратната ротация длъжности в структурните звена на ЦУ на МВнР. Също така бяха разгледани постъпилите кандидатури за участие в конкурентен подбор за заемане на 1</w:t>
      </w:r>
      <w:r w:rsidR="00E405FC">
        <w:rPr>
          <w:rFonts w:ascii="Cambria" w:hAnsi="Cambria" w:cstheme="minorHAnsi"/>
        </w:rPr>
        <w:t>8</w:t>
      </w:r>
      <w:r w:rsidR="001220A2" w:rsidRPr="00823FED">
        <w:rPr>
          <w:rFonts w:ascii="Cambria" w:hAnsi="Cambria" w:cstheme="minorHAnsi"/>
        </w:rPr>
        <w:t xml:space="preserve"> свободни и освобождаващи се ръководни длъжности в ЦУ на МВнР. </w:t>
      </w:r>
    </w:p>
    <w:p w14:paraId="04E01DD5" w14:textId="77777777" w:rsidR="007D68D0" w:rsidRPr="00823FED" w:rsidRDefault="007D68D0" w:rsidP="00716035">
      <w:pPr>
        <w:spacing w:after="0" w:line="240" w:lineRule="auto"/>
        <w:jc w:val="both"/>
        <w:rPr>
          <w:rFonts w:ascii="Cambria" w:hAnsi="Cambria" w:cstheme="minorHAnsi"/>
          <w:b/>
          <w:bCs/>
          <w:color w:val="92D050"/>
        </w:rPr>
      </w:pPr>
    </w:p>
    <w:p w14:paraId="24E53A84" w14:textId="77777777" w:rsidR="0037006C" w:rsidRPr="00823FED" w:rsidRDefault="00DB7021" w:rsidP="00716035">
      <w:pPr>
        <w:spacing w:after="0" w:line="240" w:lineRule="auto"/>
        <w:jc w:val="both"/>
        <w:rPr>
          <w:rFonts w:ascii="Cambria" w:hAnsi="Cambria" w:cstheme="minorHAnsi"/>
          <w:b/>
          <w:bCs/>
          <w:color w:val="548DD4" w:themeColor="text2" w:themeTint="99"/>
        </w:rPr>
      </w:pPr>
      <w:r w:rsidRPr="00823FED">
        <w:rPr>
          <w:rFonts w:ascii="Cambria" w:hAnsi="Cambria" w:cstheme="minorHAnsi"/>
          <w:b/>
          <w:bCs/>
          <w:color w:val="548DD4" w:themeColor="text2" w:themeTint="99"/>
        </w:rPr>
        <w:t xml:space="preserve">Оптимално управление и поддръжка на сградния фонд: </w:t>
      </w:r>
    </w:p>
    <w:p w14:paraId="09028E08" w14:textId="7FC181FD" w:rsidR="001220A2" w:rsidRPr="00823FED" w:rsidRDefault="00E32E50" w:rsidP="001220A2">
      <w:pPr>
        <w:spacing w:after="0" w:line="240" w:lineRule="auto"/>
        <w:ind w:firstLine="432"/>
        <w:jc w:val="both"/>
        <w:rPr>
          <w:rFonts w:ascii="Cambria" w:hAnsi="Cambria" w:cstheme="minorHAnsi"/>
          <w:bCs/>
        </w:rPr>
      </w:pPr>
      <w:r w:rsidRPr="00823FED">
        <w:rPr>
          <w:rFonts w:ascii="Cambria" w:hAnsi="Cambria" w:cstheme="minorHAnsi"/>
        </w:rPr>
        <w:t xml:space="preserve">В сградата на МВнР – ЦУ, гр. София, ул. „Ал. Жендов“ №2 е извършен ремонт на </w:t>
      </w:r>
      <w:r w:rsidR="00E405FC">
        <w:rPr>
          <w:rFonts w:ascii="Cambria" w:hAnsi="Cambria" w:cstheme="minorHAnsi"/>
        </w:rPr>
        <w:t>6</w:t>
      </w:r>
      <w:r w:rsidRPr="00823FED">
        <w:rPr>
          <w:rFonts w:ascii="Cambria" w:hAnsi="Cambria" w:cstheme="minorHAnsi"/>
        </w:rPr>
        <w:t xml:space="preserve">0 кабинета и </w:t>
      </w:r>
      <w:r w:rsidR="001220A2" w:rsidRPr="00823FED">
        <w:rPr>
          <w:rFonts w:ascii="Cambria" w:hAnsi="Cambria" w:cstheme="minorHAnsi"/>
        </w:rPr>
        <w:t>работни помещения</w:t>
      </w:r>
      <w:r w:rsidRPr="00823FED">
        <w:rPr>
          <w:rFonts w:ascii="Cambria" w:hAnsi="Cambria" w:cstheme="minorHAnsi"/>
        </w:rPr>
        <w:t>.</w:t>
      </w:r>
      <w:r w:rsidR="001220A2" w:rsidRPr="00823FED">
        <w:rPr>
          <w:rFonts w:ascii="Cambria" w:hAnsi="Cambria" w:cstheme="minorHAnsi"/>
        </w:rPr>
        <w:t xml:space="preserve"> Извършени са</w:t>
      </w:r>
      <w:r w:rsidRPr="00823FED">
        <w:rPr>
          <w:rFonts w:ascii="Cambria" w:hAnsi="Cambria" w:cstheme="minorHAnsi"/>
        </w:rPr>
        <w:t xml:space="preserve"> </w:t>
      </w:r>
      <w:r w:rsidR="001220A2" w:rsidRPr="00823FED">
        <w:rPr>
          <w:rFonts w:ascii="Cambria" w:hAnsi="Cambria" w:cstheme="minorHAnsi"/>
        </w:rPr>
        <w:t xml:space="preserve">довършителни работи вследствие  на основен ремонт (смяна на вертикални щрангове) в сграда от </w:t>
      </w:r>
      <w:r w:rsidR="001220A2" w:rsidRPr="00823FED">
        <w:rPr>
          <w:rFonts w:ascii="Cambria" w:hAnsi="Cambria" w:cstheme="minorHAnsi"/>
          <w:bCs/>
        </w:rPr>
        <w:t xml:space="preserve">ведомствения жилищен фонд на министерството. Предприети са мерки за отстраняване на гаранционни дефекти от извършен ремонт на хидроизолацията в подземните гаражи и киносалон в сградата на ЦУ и подмяна на съществуваща алуминиева дограма с нова алуминиева дограма в помещения на ЦУ.  Извършена е подмяна на офис мебелите в </w:t>
      </w:r>
      <w:r w:rsidR="00E405FC">
        <w:rPr>
          <w:rFonts w:ascii="Cambria" w:hAnsi="Cambria" w:cstheme="minorHAnsi"/>
          <w:bCs/>
        </w:rPr>
        <w:t>4</w:t>
      </w:r>
      <w:r w:rsidR="001220A2" w:rsidRPr="00823FED">
        <w:rPr>
          <w:rFonts w:ascii="Cambria" w:hAnsi="Cambria" w:cstheme="minorHAnsi"/>
          <w:bCs/>
        </w:rPr>
        <w:t>5 работни помещения.</w:t>
      </w:r>
    </w:p>
    <w:p w14:paraId="420F8599" w14:textId="77777777" w:rsidR="007D68D0" w:rsidRPr="00823FED" w:rsidRDefault="007D68D0" w:rsidP="00716035">
      <w:pPr>
        <w:spacing w:after="0" w:line="240" w:lineRule="auto"/>
        <w:jc w:val="both"/>
        <w:rPr>
          <w:rFonts w:ascii="Cambria" w:hAnsi="Cambria" w:cstheme="minorHAnsi"/>
          <w:b/>
          <w:bCs/>
          <w:color w:val="548DD4" w:themeColor="text2" w:themeTint="99"/>
        </w:rPr>
      </w:pPr>
    </w:p>
    <w:p w14:paraId="68851D5D" w14:textId="77777777" w:rsidR="00257B22" w:rsidRPr="00823FED" w:rsidRDefault="00DB7021" w:rsidP="00716035">
      <w:pPr>
        <w:spacing w:after="0" w:line="240" w:lineRule="auto"/>
        <w:jc w:val="both"/>
        <w:rPr>
          <w:rFonts w:ascii="Cambria" w:hAnsi="Cambria" w:cstheme="minorHAnsi"/>
          <w:b/>
          <w:bCs/>
        </w:rPr>
      </w:pPr>
      <w:r w:rsidRPr="00823FED">
        <w:rPr>
          <w:rFonts w:ascii="Cambria" w:hAnsi="Cambria" w:cstheme="minorHAnsi"/>
          <w:b/>
          <w:bCs/>
          <w:color w:val="548DD4" w:themeColor="text2" w:themeTint="99"/>
        </w:rPr>
        <w:t>Ефективно финансово и бюджетно управление:</w:t>
      </w:r>
      <w:r w:rsidRPr="00823FED">
        <w:rPr>
          <w:rFonts w:ascii="Cambria" w:hAnsi="Cambria" w:cstheme="minorHAnsi"/>
          <w:b/>
          <w:bCs/>
        </w:rPr>
        <w:t xml:space="preserve"> </w:t>
      </w:r>
    </w:p>
    <w:p w14:paraId="55C4705F" w14:textId="77777777" w:rsidR="00DB7021" w:rsidRPr="00823FED" w:rsidRDefault="00E32E50" w:rsidP="00716035">
      <w:pPr>
        <w:tabs>
          <w:tab w:val="left" w:pos="450"/>
        </w:tabs>
        <w:spacing w:after="0" w:line="240" w:lineRule="auto"/>
        <w:ind w:firstLine="360"/>
        <w:jc w:val="both"/>
        <w:rPr>
          <w:rFonts w:ascii="Cambria" w:hAnsi="Cambria" w:cstheme="minorHAnsi"/>
          <w:color w:val="FF0000"/>
        </w:rPr>
      </w:pPr>
      <w:r w:rsidRPr="00044D8E">
        <w:rPr>
          <w:rFonts w:ascii="Cambria" w:hAnsi="Cambria" w:cstheme="minorHAnsi"/>
          <w:color w:val="000000" w:themeColor="text1"/>
        </w:rPr>
        <w:t xml:space="preserve">В рамките на министерството бяха осигурени финансово-счетоводната и материална отчетност и бюджетния процес. </w:t>
      </w:r>
      <w:r w:rsidR="000612CC" w:rsidRPr="00044D8E">
        <w:rPr>
          <w:rFonts w:ascii="Cambria" w:hAnsi="Cambria" w:cstheme="minorHAnsi"/>
          <w:color w:val="000000" w:themeColor="text1"/>
        </w:rPr>
        <w:t>О</w:t>
      </w:r>
      <w:r w:rsidRPr="00044D8E">
        <w:rPr>
          <w:rFonts w:ascii="Cambria" w:hAnsi="Cambria" w:cstheme="minorHAnsi"/>
          <w:color w:val="000000" w:themeColor="text1"/>
        </w:rPr>
        <w:t>съществяван</w:t>
      </w:r>
      <w:r w:rsidR="000612CC" w:rsidRPr="00044D8E">
        <w:rPr>
          <w:rFonts w:ascii="Cambria" w:hAnsi="Cambria" w:cstheme="minorHAnsi"/>
          <w:color w:val="000000" w:themeColor="text1"/>
        </w:rPr>
        <w:t xml:space="preserve"> е </w:t>
      </w:r>
      <w:r w:rsidRPr="00044D8E">
        <w:rPr>
          <w:rFonts w:ascii="Cambria" w:hAnsi="Cambria" w:cstheme="minorHAnsi"/>
          <w:color w:val="000000" w:themeColor="text1"/>
        </w:rPr>
        <w:t>предварителен контрол за законосъобразност съгласно ЗФУКПС от финансови контрольори в ЦУ на МВнР преди поемане на задължение за приход/разход  и/или преди извършване на разход, в резултат на което са предотвратени редица незаконосъобразни разходи/поемане на задължения, отстранени са своевременно пропуски и несъответствия, не са допуснати нарушения на финансовата дисциплина.</w:t>
      </w:r>
    </w:p>
    <w:p w14:paraId="6C17C274" w14:textId="77777777" w:rsidR="007D68D0" w:rsidRPr="00823FED" w:rsidRDefault="007D68D0" w:rsidP="00716035">
      <w:pPr>
        <w:pStyle w:val="ListParagraph"/>
        <w:widowControl w:val="0"/>
        <w:autoSpaceDE w:val="0"/>
        <w:autoSpaceDN w:val="0"/>
        <w:adjustRightInd w:val="0"/>
        <w:spacing w:after="0" w:line="240" w:lineRule="auto"/>
        <w:ind w:left="0"/>
        <w:contextualSpacing w:val="0"/>
        <w:jc w:val="both"/>
        <w:rPr>
          <w:rFonts w:ascii="Cambria" w:hAnsi="Cambria" w:cstheme="minorHAnsi"/>
          <w:b/>
          <w:bCs/>
          <w:color w:val="548DD4" w:themeColor="text2" w:themeTint="99"/>
        </w:rPr>
      </w:pPr>
    </w:p>
    <w:p w14:paraId="668BC317" w14:textId="77777777" w:rsidR="00E0193C" w:rsidRPr="00823FED" w:rsidRDefault="00DB7021" w:rsidP="00716035">
      <w:pPr>
        <w:pStyle w:val="ListParagraph"/>
        <w:widowControl w:val="0"/>
        <w:autoSpaceDE w:val="0"/>
        <w:autoSpaceDN w:val="0"/>
        <w:adjustRightInd w:val="0"/>
        <w:spacing w:after="0" w:line="240" w:lineRule="auto"/>
        <w:ind w:left="0"/>
        <w:contextualSpacing w:val="0"/>
        <w:jc w:val="both"/>
        <w:rPr>
          <w:rFonts w:ascii="Cambria" w:hAnsi="Cambria" w:cstheme="minorHAnsi"/>
        </w:rPr>
      </w:pPr>
      <w:r w:rsidRPr="00823FED">
        <w:rPr>
          <w:rFonts w:ascii="Cambria" w:hAnsi="Cambria" w:cstheme="minorHAnsi"/>
          <w:b/>
          <w:bCs/>
          <w:color w:val="548DD4" w:themeColor="text2" w:themeTint="99"/>
        </w:rPr>
        <w:t>Развитие на информационни системи и технологии:</w:t>
      </w:r>
      <w:r w:rsidR="00315D42" w:rsidRPr="00823FED">
        <w:rPr>
          <w:rFonts w:ascii="Cambria" w:hAnsi="Cambria" w:cstheme="minorHAnsi"/>
          <w:b/>
          <w:bCs/>
          <w:color w:val="548DD4" w:themeColor="text2" w:themeTint="99"/>
        </w:rPr>
        <w:t xml:space="preserve"> </w:t>
      </w:r>
    </w:p>
    <w:p w14:paraId="1AC83960" w14:textId="77777777" w:rsidR="00E32E50" w:rsidRPr="00823FED" w:rsidRDefault="00E32E50" w:rsidP="00716035">
      <w:pPr>
        <w:spacing w:after="0" w:line="240" w:lineRule="auto"/>
        <w:rPr>
          <w:rFonts w:ascii="Cambria" w:hAnsi="Cambria" w:cstheme="minorHAnsi"/>
        </w:rPr>
      </w:pPr>
      <w:r w:rsidRPr="00823FED">
        <w:rPr>
          <w:rFonts w:ascii="Cambria" w:hAnsi="Cambria" w:cstheme="minorHAnsi"/>
        </w:rPr>
        <w:t>През</w:t>
      </w:r>
      <w:r w:rsidR="00B32D02" w:rsidRPr="00823FED">
        <w:rPr>
          <w:rFonts w:ascii="Cambria" w:hAnsi="Cambria" w:cstheme="minorHAnsi"/>
        </w:rPr>
        <w:t xml:space="preserve"> първата половина на</w:t>
      </w:r>
      <w:r w:rsidRPr="00823FED">
        <w:rPr>
          <w:rFonts w:ascii="Cambria" w:hAnsi="Cambria" w:cstheme="minorHAnsi"/>
        </w:rPr>
        <w:t xml:space="preserve"> 202</w:t>
      </w:r>
      <w:r w:rsidR="00B32D02" w:rsidRPr="00823FED">
        <w:rPr>
          <w:rFonts w:ascii="Cambria" w:hAnsi="Cambria" w:cstheme="minorHAnsi"/>
        </w:rPr>
        <w:t>1</w:t>
      </w:r>
      <w:r w:rsidRPr="00823FED">
        <w:rPr>
          <w:rFonts w:ascii="Cambria" w:hAnsi="Cambria" w:cstheme="minorHAnsi"/>
        </w:rPr>
        <w:t xml:space="preserve"> г. бяха реализирани комплекс от мерки за повишаване на нивото на мрежовата и информационна сигурност в МВнР, включващи:</w:t>
      </w:r>
    </w:p>
    <w:p w14:paraId="0E4DE08F" w14:textId="77777777" w:rsidR="00E32E50" w:rsidRPr="00823FED" w:rsidRDefault="00DA3C5E" w:rsidP="00716035">
      <w:pPr>
        <w:pStyle w:val="ListParagraph"/>
        <w:numPr>
          <w:ilvl w:val="0"/>
          <w:numId w:val="3"/>
        </w:numPr>
        <w:spacing w:after="0" w:line="240" w:lineRule="auto"/>
        <w:rPr>
          <w:rFonts w:ascii="Cambria" w:hAnsi="Cambria" w:cstheme="minorHAnsi"/>
        </w:rPr>
      </w:pPr>
      <w:r w:rsidRPr="00823FED">
        <w:rPr>
          <w:rFonts w:ascii="Cambria" w:hAnsi="Cambria" w:cstheme="minorHAnsi"/>
          <w:bCs/>
        </w:rPr>
        <w:t>Конфигуриране на активното мрежово оборудване и профилактика на компютрите в откритата мрежа и в мрежата на НВИС в две посолства</w:t>
      </w:r>
      <w:r w:rsidR="00E32E50" w:rsidRPr="00823FED">
        <w:rPr>
          <w:rFonts w:ascii="Cambria" w:hAnsi="Cambria" w:cstheme="minorHAnsi"/>
        </w:rPr>
        <w:t>;</w:t>
      </w:r>
    </w:p>
    <w:p w14:paraId="5CAC88C4" w14:textId="77777777" w:rsidR="00DA3C5E" w:rsidRPr="00823FED" w:rsidRDefault="00DA3C5E" w:rsidP="00044D8E">
      <w:pPr>
        <w:pStyle w:val="ListParagraph"/>
        <w:numPr>
          <w:ilvl w:val="0"/>
          <w:numId w:val="3"/>
        </w:numPr>
        <w:spacing w:after="0" w:line="240" w:lineRule="auto"/>
        <w:rPr>
          <w:rFonts w:ascii="Cambria" w:hAnsi="Cambria" w:cstheme="minorHAnsi"/>
        </w:rPr>
      </w:pPr>
      <w:r w:rsidRPr="00823FED">
        <w:rPr>
          <w:rFonts w:ascii="Cambria" w:hAnsi="Cambria" w:cstheme="minorHAnsi"/>
        </w:rPr>
        <w:t>Своевременно е оказвано съдействие за разрешаване на възникнали технически проблеми  в задграничнит</w:t>
      </w:r>
      <w:bookmarkStart w:id="0" w:name="_GoBack"/>
      <w:bookmarkEnd w:id="0"/>
      <w:r w:rsidRPr="00823FED">
        <w:rPr>
          <w:rFonts w:ascii="Cambria" w:hAnsi="Cambria" w:cstheme="minorHAnsi"/>
        </w:rPr>
        <w:t>е представителства на Република България и обезпечаване на същите с нова компютърна техника и съдействие за закупуване на място;.</w:t>
      </w:r>
    </w:p>
    <w:p w14:paraId="6207B798" w14:textId="3074720B" w:rsidR="00DA3C5E" w:rsidRPr="00823FED" w:rsidRDefault="00DA3C5E" w:rsidP="00E405FC">
      <w:pPr>
        <w:pStyle w:val="ListParagraph"/>
        <w:numPr>
          <w:ilvl w:val="0"/>
          <w:numId w:val="3"/>
        </w:numPr>
        <w:rPr>
          <w:rFonts w:ascii="Cambria" w:hAnsi="Cambria" w:cstheme="minorHAnsi"/>
        </w:rPr>
      </w:pPr>
      <w:r w:rsidRPr="00823FED">
        <w:rPr>
          <w:rFonts w:ascii="Cambria" w:hAnsi="Cambria" w:cstheme="minorHAnsi"/>
        </w:rPr>
        <w:t xml:space="preserve">През отчетния период, в качеството на дирекция-заявител по утвърдения  план-график за провеждане на обществени поръчки по ЗОП на МВнР за 2021 г., както и при възникнала необходимост извън посочения план-график, </w:t>
      </w:r>
      <w:r w:rsidR="00E405FC" w:rsidRPr="00E405FC">
        <w:rPr>
          <w:rFonts w:ascii="Cambria" w:hAnsi="Cambria" w:cstheme="minorHAnsi"/>
        </w:rPr>
        <w:t>са изготвени пълни комплекти документи за стартиране на обществени поръчки</w:t>
      </w:r>
      <w:r w:rsidRPr="00823FED">
        <w:rPr>
          <w:rFonts w:ascii="Cambria" w:hAnsi="Cambria" w:cstheme="minorHAnsi"/>
        </w:rPr>
        <w:t>;</w:t>
      </w:r>
    </w:p>
    <w:p w14:paraId="5D1B2DBD" w14:textId="73AFB20D" w:rsidR="00063B03" w:rsidRPr="00823FED" w:rsidRDefault="00DA3C5E" w:rsidP="00044D8E">
      <w:pPr>
        <w:pStyle w:val="ListParagraph"/>
        <w:numPr>
          <w:ilvl w:val="0"/>
          <w:numId w:val="3"/>
        </w:numPr>
        <w:spacing w:after="0" w:line="240" w:lineRule="auto"/>
        <w:jc w:val="both"/>
        <w:rPr>
          <w:rFonts w:ascii="Cambria" w:hAnsi="Cambria" w:cstheme="minorHAnsi"/>
        </w:rPr>
      </w:pPr>
      <w:r w:rsidRPr="00823FED">
        <w:rPr>
          <w:rFonts w:ascii="Cambria" w:hAnsi="Cambria" w:cstheme="minorHAnsi"/>
        </w:rPr>
        <w:t xml:space="preserve">Разработена </w:t>
      </w:r>
      <w:r w:rsidR="00846246" w:rsidRPr="00823FED">
        <w:rPr>
          <w:rFonts w:ascii="Cambria" w:hAnsi="Cambria" w:cstheme="minorHAnsi"/>
        </w:rPr>
        <w:t>б</w:t>
      </w:r>
      <w:r w:rsidRPr="00823FED">
        <w:rPr>
          <w:rFonts w:ascii="Cambria" w:hAnsi="Cambria" w:cstheme="minorHAnsi"/>
        </w:rPr>
        <w:t>е секторна стратегия за развитие на електронното управление в МВнР „Е-външна политика, консулски услуги и българска диаспора 2021-2025“.</w:t>
      </w:r>
    </w:p>
    <w:p w14:paraId="413CF93C" w14:textId="77777777" w:rsidR="00846246" w:rsidRPr="00823FED" w:rsidRDefault="00846246" w:rsidP="00846246">
      <w:pPr>
        <w:pStyle w:val="ListParagraph"/>
        <w:spacing w:after="0" w:line="240" w:lineRule="auto"/>
        <w:jc w:val="both"/>
        <w:rPr>
          <w:rFonts w:ascii="Cambria" w:hAnsi="Cambria" w:cstheme="minorHAnsi"/>
        </w:rPr>
      </w:pPr>
    </w:p>
    <w:p w14:paraId="76B69E99" w14:textId="77777777" w:rsidR="00020ECE" w:rsidRPr="00823FED" w:rsidRDefault="00020ECE" w:rsidP="00716035">
      <w:pPr>
        <w:shd w:val="clear" w:color="auto" w:fill="FBD4B4" w:themeFill="accent6" w:themeFillTint="66"/>
        <w:spacing w:after="0" w:line="240" w:lineRule="auto"/>
        <w:ind w:firstLine="284"/>
        <w:jc w:val="both"/>
        <w:rPr>
          <w:rFonts w:ascii="Cambria" w:hAnsi="Cambria" w:cstheme="minorHAnsi"/>
          <w:b/>
          <w:caps/>
          <w:color w:val="000000"/>
        </w:rPr>
      </w:pPr>
      <w:r w:rsidRPr="00823FED">
        <w:rPr>
          <w:rFonts w:ascii="Cambria" w:hAnsi="Cambria" w:cstheme="minorHAnsi"/>
          <w:b/>
          <w:caps/>
        </w:rPr>
        <w:t xml:space="preserve">Област на политика: </w:t>
      </w:r>
      <w:r w:rsidRPr="00823FED">
        <w:rPr>
          <w:rFonts w:ascii="Cambria" w:hAnsi="Cambria" w:cstheme="minorHAnsi"/>
          <w:b/>
          <w:caps/>
          <w:color w:val="000000"/>
        </w:rPr>
        <w:t>„</w:t>
      </w:r>
      <w:r w:rsidR="00DB0CA6" w:rsidRPr="00823FED">
        <w:rPr>
          <w:rFonts w:ascii="Cambria" w:hAnsi="Cambria" w:cstheme="minorHAnsi"/>
          <w:b/>
          <w:caps/>
          <w:color w:val="000000"/>
        </w:rPr>
        <w:t>Публична дипломация</w:t>
      </w:r>
      <w:r w:rsidRPr="00823FED">
        <w:rPr>
          <w:rFonts w:ascii="Cambria" w:hAnsi="Cambria" w:cstheme="minorHAnsi"/>
          <w:b/>
          <w:caps/>
          <w:color w:val="000000"/>
        </w:rPr>
        <w:t>”</w:t>
      </w:r>
    </w:p>
    <w:p w14:paraId="56EF45D9" w14:textId="77777777" w:rsidR="00020ECE" w:rsidRPr="00823FED" w:rsidRDefault="00020ECE" w:rsidP="00716035">
      <w:pPr>
        <w:autoSpaceDE w:val="0"/>
        <w:autoSpaceDN w:val="0"/>
        <w:adjustRightInd w:val="0"/>
        <w:spacing w:after="0" w:line="240" w:lineRule="auto"/>
        <w:ind w:firstLine="284"/>
        <w:jc w:val="both"/>
        <w:rPr>
          <w:rFonts w:ascii="Cambria" w:hAnsi="Cambria" w:cstheme="minorHAnsi"/>
        </w:rPr>
      </w:pPr>
    </w:p>
    <w:p w14:paraId="34576FD2" w14:textId="660A3C7D" w:rsidR="00E0193C" w:rsidRPr="00823FED" w:rsidRDefault="00E0193C" w:rsidP="00716035">
      <w:pPr>
        <w:spacing w:after="0" w:line="240" w:lineRule="auto"/>
        <w:ind w:firstLine="450"/>
        <w:jc w:val="both"/>
        <w:rPr>
          <w:rFonts w:ascii="Cambria" w:hAnsi="Cambria" w:cstheme="minorHAnsi"/>
        </w:rPr>
      </w:pPr>
      <w:r w:rsidRPr="00823FED">
        <w:rPr>
          <w:rFonts w:ascii="Cambria" w:hAnsi="Cambria" w:cstheme="minorHAnsi"/>
        </w:rPr>
        <w:t>В условията на съвременната информационна среда</w:t>
      </w:r>
      <w:r w:rsidR="00823FED" w:rsidRPr="00823FED">
        <w:rPr>
          <w:rFonts w:ascii="Cambria" w:hAnsi="Cambria" w:cstheme="minorHAnsi"/>
        </w:rPr>
        <w:t>,</w:t>
      </w:r>
      <w:r w:rsidRPr="00823FED">
        <w:rPr>
          <w:rFonts w:ascii="Cambria" w:hAnsi="Cambria" w:cstheme="minorHAnsi"/>
        </w:rPr>
        <w:t xml:space="preserve"> присъствието в публичното пространство се осъществява в значителна степен чрез използването на съществуващите благодарение на интернет и мобилните мрежи форми на комуникация, в т.ч. социални мрежи, електронни страници, чрез които се постига мигновен достъп до информация. </w:t>
      </w:r>
    </w:p>
    <w:p w14:paraId="1969AAE6" w14:textId="77777777" w:rsidR="009D0620" w:rsidRPr="00823FED" w:rsidRDefault="009D0620" w:rsidP="00716035">
      <w:pPr>
        <w:spacing w:after="0" w:line="240" w:lineRule="auto"/>
        <w:ind w:firstLine="284"/>
        <w:jc w:val="both"/>
        <w:rPr>
          <w:rFonts w:ascii="Cambria" w:hAnsi="Cambria" w:cstheme="minorHAnsi"/>
        </w:rPr>
      </w:pPr>
    </w:p>
    <w:tbl>
      <w:tblPr>
        <w:tblStyle w:val="1"/>
        <w:tblW w:w="9355" w:type="dxa"/>
        <w:tblLook w:val="04A0" w:firstRow="1" w:lastRow="0" w:firstColumn="1" w:lastColumn="0" w:noHBand="0" w:noVBand="1"/>
      </w:tblPr>
      <w:tblGrid>
        <w:gridCol w:w="4815"/>
        <w:gridCol w:w="2835"/>
        <w:gridCol w:w="1705"/>
      </w:tblGrid>
      <w:tr w:rsidR="009C0586" w:rsidRPr="009C0586" w14:paraId="3FB85022" w14:textId="77777777" w:rsidTr="00044D8E">
        <w:tc>
          <w:tcPr>
            <w:tcW w:w="9355" w:type="dxa"/>
            <w:gridSpan w:val="3"/>
            <w:shd w:val="clear" w:color="auto" w:fill="FABF8F" w:themeFill="accent6" w:themeFillTint="99"/>
          </w:tcPr>
          <w:p w14:paraId="6C4E73E5" w14:textId="77777777" w:rsidR="009C0586" w:rsidRPr="009C0586" w:rsidRDefault="009C0586" w:rsidP="009C0586">
            <w:pPr>
              <w:jc w:val="center"/>
              <w:rPr>
                <w:rFonts w:ascii="Times New Roman" w:hAnsi="Times New Roman" w:cs="Times New Roman"/>
                <w:b/>
                <w:iCs/>
                <w:sz w:val="24"/>
                <w:szCs w:val="24"/>
              </w:rPr>
            </w:pPr>
            <w:r w:rsidRPr="009C0586">
              <w:rPr>
                <w:rFonts w:ascii="Times New Roman" w:hAnsi="Times New Roman" w:cs="Times New Roman"/>
                <w:b/>
                <w:bCs/>
                <w:sz w:val="24"/>
                <w:szCs w:val="24"/>
              </w:rPr>
              <w:t>КЛЮЧОВИ ИНДИКАТОРИ ЗА ИЗПЪЛНЕНИЕ И ЦЕЛЕВИ СТОЙНОСТИ</w:t>
            </w:r>
          </w:p>
          <w:p w14:paraId="18C103B7" w14:textId="77777777" w:rsidR="009C0586" w:rsidRPr="009C0586" w:rsidRDefault="009C0586" w:rsidP="009C0586">
            <w:pPr>
              <w:jc w:val="center"/>
              <w:rPr>
                <w:rFonts w:ascii="Times New Roman" w:hAnsi="Times New Roman" w:cs="Times New Roman"/>
                <w:b/>
                <w:bCs/>
                <w:iCs/>
                <w:sz w:val="24"/>
                <w:szCs w:val="24"/>
              </w:rPr>
            </w:pPr>
            <w:r w:rsidRPr="009C0586">
              <w:rPr>
                <w:rFonts w:ascii="Times New Roman" w:hAnsi="Times New Roman" w:cs="Times New Roman"/>
                <w:b/>
                <w:iCs/>
                <w:sz w:val="24"/>
                <w:szCs w:val="24"/>
              </w:rPr>
              <w:t>Област на политика „Публична дипломация“</w:t>
            </w:r>
          </w:p>
        </w:tc>
      </w:tr>
      <w:tr w:rsidR="009C0586" w:rsidRPr="009C0586" w14:paraId="48106BB3" w14:textId="77777777" w:rsidTr="009C0586">
        <w:tc>
          <w:tcPr>
            <w:tcW w:w="4815" w:type="dxa"/>
            <w:shd w:val="clear" w:color="auto" w:fill="FABF8F" w:themeFill="accent6" w:themeFillTint="99"/>
          </w:tcPr>
          <w:p w14:paraId="1CE6FB3A" w14:textId="77777777" w:rsidR="009C0586" w:rsidRPr="009C0586" w:rsidRDefault="009C0586" w:rsidP="009C0586">
            <w:pPr>
              <w:jc w:val="center"/>
              <w:rPr>
                <w:rFonts w:ascii="Times New Roman" w:hAnsi="Times New Roman" w:cs="Times New Roman"/>
                <w:sz w:val="24"/>
                <w:szCs w:val="24"/>
              </w:rPr>
            </w:pPr>
            <w:r w:rsidRPr="009C0586">
              <w:rPr>
                <w:rFonts w:ascii="Times New Roman" w:hAnsi="Times New Roman" w:cs="Times New Roman"/>
                <w:b/>
                <w:bCs/>
                <w:sz w:val="24"/>
                <w:szCs w:val="24"/>
              </w:rPr>
              <w:t>Наименование на индикатора</w:t>
            </w:r>
          </w:p>
        </w:tc>
        <w:tc>
          <w:tcPr>
            <w:tcW w:w="2835" w:type="dxa"/>
            <w:shd w:val="clear" w:color="auto" w:fill="FABF8F" w:themeFill="accent6" w:themeFillTint="99"/>
          </w:tcPr>
          <w:p w14:paraId="64408F7F" w14:textId="77777777" w:rsidR="009C0586" w:rsidRPr="009C0586" w:rsidRDefault="009C0586" w:rsidP="009C0586">
            <w:pPr>
              <w:jc w:val="center"/>
              <w:rPr>
                <w:rFonts w:ascii="Times New Roman" w:hAnsi="Times New Roman" w:cs="Times New Roman"/>
                <w:sz w:val="24"/>
                <w:szCs w:val="24"/>
              </w:rPr>
            </w:pPr>
            <w:r w:rsidRPr="009C0586">
              <w:rPr>
                <w:rFonts w:ascii="Times New Roman" w:hAnsi="Times New Roman" w:cs="Times New Roman"/>
                <w:b/>
                <w:bCs/>
                <w:sz w:val="24"/>
                <w:szCs w:val="24"/>
              </w:rPr>
              <w:t>Мерна единица</w:t>
            </w:r>
          </w:p>
        </w:tc>
        <w:tc>
          <w:tcPr>
            <w:tcW w:w="1705" w:type="dxa"/>
            <w:shd w:val="clear" w:color="auto" w:fill="FABF8F" w:themeFill="accent6" w:themeFillTint="99"/>
          </w:tcPr>
          <w:p w14:paraId="1BCDFA84" w14:textId="017262FF" w:rsidR="009C0586" w:rsidRPr="009C0586" w:rsidRDefault="009C0586" w:rsidP="009C0586">
            <w:pPr>
              <w:jc w:val="center"/>
              <w:rPr>
                <w:rFonts w:ascii="Times New Roman" w:hAnsi="Times New Roman" w:cs="Times New Roman"/>
                <w:sz w:val="24"/>
                <w:szCs w:val="24"/>
              </w:rPr>
            </w:pPr>
            <w:r w:rsidRPr="009C0586">
              <w:rPr>
                <w:rFonts w:ascii="Times New Roman" w:hAnsi="Times New Roman" w:cs="Times New Roman"/>
                <w:b/>
                <w:bCs/>
                <w:iCs/>
                <w:sz w:val="24"/>
                <w:szCs w:val="24"/>
              </w:rPr>
              <w:t>Отчет 202</w:t>
            </w:r>
            <w:r>
              <w:rPr>
                <w:rFonts w:ascii="Times New Roman" w:hAnsi="Times New Roman" w:cs="Times New Roman"/>
                <w:b/>
                <w:bCs/>
                <w:iCs/>
                <w:sz w:val="24"/>
                <w:szCs w:val="24"/>
                <w:lang w:val="en-US"/>
              </w:rPr>
              <w:t>1</w:t>
            </w:r>
            <w:r w:rsidRPr="009C0586">
              <w:rPr>
                <w:rFonts w:ascii="Times New Roman" w:hAnsi="Times New Roman" w:cs="Times New Roman"/>
                <w:b/>
                <w:bCs/>
                <w:iCs/>
                <w:sz w:val="24"/>
                <w:szCs w:val="24"/>
              </w:rPr>
              <w:t xml:space="preserve"> г.</w:t>
            </w:r>
          </w:p>
        </w:tc>
      </w:tr>
      <w:tr w:rsidR="009C0586" w:rsidRPr="009C0586" w14:paraId="2F5EA894" w14:textId="77777777" w:rsidTr="009C0586">
        <w:tc>
          <w:tcPr>
            <w:tcW w:w="4815" w:type="dxa"/>
          </w:tcPr>
          <w:p w14:paraId="39009263" w14:textId="77777777" w:rsidR="009C0586" w:rsidRPr="009C0586" w:rsidRDefault="009C0586" w:rsidP="009C0586">
            <w:pPr>
              <w:rPr>
                <w:rFonts w:ascii="Times New Roman" w:hAnsi="Times New Roman" w:cs="Times New Roman"/>
                <w:b/>
                <w:bCs/>
                <w:sz w:val="24"/>
                <w:szCs w:val="24"/>
              </w:rPr>
            </w:pPr>
            <w:r w:rsidRPr="009C0586">
              <w:rPr>
                <w:rFonts w:ascii="Times New Roman" w:hAnsi="Times New Roman" w:cs="Times New Roman"/>
                <w:b/>
                <w:bCs/>
                <w:sz w:val="24"/>
                <w:szCs w:val="24"/>
              </w:rPr>
              <w:t xml:space="preserve"> Публични дейности, организирани от ДИ</w:t>
            </w:r>
          </w:p>
        </w:tc>
        <w:tc>
          <w:tcPr>
            <w:tcW w:w="2835" w:type="dxa"/>
          </w:tcPr>
          <w:p w14:paraId="65FCAA11" w14:textId="77777777" w:rsidR="009C0586" w:rsidRPr="009C0586" w:rsidRDefault="009C0586" w:rsidP="009C0586">
            <w:pPr>
              <w:rPr>
                <w:rFonts w:ascii="Times New Roman" w:hAnsi="Times New Roman" w:cs="Times New Roman"/>
                <w:b/>
                <w:bCs/>
                <w:sz w:val="24"/>
                <w:szCs w:val="24"/>
              </w:rPr>
            </w:pPr>
            <w:r w:rsidRPr="009C0586">
              <w:rPr>
                <w:rFonts w:ascii="Times New Roman" w:hAnsi="Times New Roman" w:cs="Times New Roman"/>
                <w:b/>
                <w:bCs/>
                <w:sz w:val="24"/>
                <w:szCs w:val="24"/>
              </w:rPr>
              <w:t>Брой</w:t>
            </w:r>
          </w:p>
        </w:tc>
        <w:tc>
          <w:tcPr>
            <w:tcW w:w="1705" w:type="dxa"/>
          </w:tcPr>
          <w:p w14:paraId="291540AB" w14:textId="77777777" w:rsidR="009C0586" w:rsidRPr="009C0586" w:rsidRDefault="009C0586" w:rsidP="009C0586">
            <w:pPr>
              <w:jc w:val="center"/>
              <w:rPr>
                <w:rFonts w:ascii="Times New Roman" w:hAnsi="Times New Roman" w:cs="Times New Roman"/>
                <w:b/>
                <w:bCs/>
                <w:sz w:val="24"/>
                <w:szCs w:val="24"/>
              </w:rPr>
            </w:pPr>
            <w:r w:rsidRPr="009C0586">
              <w:rPr>
                <w:rFonts w:ascii="Times New Roman" w:hAnsi="Times New Roman" w:cs="Times New Roman"/>
                <w:b/>
                <w:bCs/>
                <w:sz w:val="24"/>
                <w:szCs w:val="24"/>
              </w:rPr>
              <w:t>20</w:t>
            </w:r>
          </w:p>
        </w:tc>
      </w:tr>
      <w:tr w:rsidR="009C0586" w:rsidRPr="009C0586" w14:paraId="3178ECEE" w14:textId="77777777" w:rsidTr="009C0586">
        <w:tc>
          <w:tcPr>
            <w:tcW w:w="4815" w:type="dxa"/>
          </w:tcPr>
          <w:p w14:paraId="5D76020B" w14:textId="77777777" w:rsidR="009C0586" w:rsidRPr="009C0586" w:rsidRDefault="009C0586" w:rsidP="009C0586">
            <w:pPr>
              <w:rPr>
                <w:rFonts w:ascii="Times New Roman" w:hAnsi="Times New Roman" w:cs="Times New Roman"/>
                <w:b/>
                <w:bCs/>
                <w:sz w:val="24"/>
                <w:szCs w:val="24"/>
              </w:rPr>
            </w:pPr>
            <w:r w:rsidRPr="009C0586">
              <w:rPr>
                <w:rFonts w:ascii="Times New Roman" w:hAnsi="Times New Roman" w:cs="Times New Roman"/>
                <w:b/>
                <w:bCs/>
                <w:sz w:val="24"/>
                <w:szCs w:val="24"/>
              </w:rPr>
              <w:t>Служители от МВнР и държавната администрация, обучавани в програми на Дипломатическия институт</w:t>
            </w:r>
          </w:p>
        </w:tc>
        <w:tc>
          <w:tcPr>
            <w:tcW w:w="2835" w:type="dxa"/>
          </w:tcPr>
          <w:p w14:paraId="13393664" w14:textId="77777777" w:rsidR="009C0586" w:rsidRPr="009C0586" w:rsidRDefault="009C0586" w:rsidP="009C0586">
            <w:pPr>
              <w:rPr>
                <w:rFonts w:ascii="Times New Roman" w:hAnsi="Times New Roman" w:cs="Times New Roman"/>
                <w:b/>
                <w:bCs/>
                <w:sz w:val="24"/>
                <w:szCs w:val="24"/>
              </w:rPr>
            </w:pPr>
            <w:r w:rsidRPr="009C0586">
              <w:rPr>
                <w:rFonts w:ascii="Times New Roman" w:hAnsi="Times New Roman" w:cs="Times New Roman"/>
                <w:b/>
                <w:bCs/>
                <w:sz w:val="24"/>
                <w:szCs w:val="24"/>
              </w:rPr>
              <w:t>Брой</w:t>
            </w:r>
          </w:p>
        </w:tc>
        <w:tc>
          <w:tcPr>
            <w:tcW w:w="1705" w:type="dxa"/>
          </w:tcPr>
          <w:p w14:paraId="14E85E5E" w14:textId="77777777" w:rsidR="009C0586" w:rsidRPr="009C0586" w:rsidRDefault="009C0586" w:rsidP="009C0586">
            <w:pPr>
              <w:jc w:val="center"/>
              <w:rPr>
                <w:rFonts w:ascii="Times New Roman" w:hAnsi="Times New Roman" w:cs="Times New Roman"/>
                <w:b/>
                <w:bCs/>
                <w:sz w:val="24"/>
                <w:szCs w:val="24"/>
              </w:rPr>
            </w:pPr>
            <w:r w:rsidRPr="009C0586">
              <w:rPr>
                <w:rFonts w:ascii="Times New Roman" w:hAnsi="Times New Roman" w:cs="Times New Roman"/>
                <w:b/>
                <w:bCs/>
                <w:sz w:val="24"/>
                <w:szCs w:val="24"/>
              </w:rPr>
              <w:t>270</w:t>
            </w:r>
          </w:p>
        </w:tc>
      </w:tr>
      <w:tr w:rsidR="009C0586" w:rsidRPr="009C0586" w14:paraId="01DB070B" w14:textId="77777777" w:rsidTr="009C0586">
        <w:tc>
          <w:tcPr>
            <w:tcW w:w="4815" w:type="dxa"/>
          </w:tcPr>
          <w:p w14:paraId="07262375" w14:textId="77777777" w:rsidR="009C0586" w:rsidRPr="009C0586" w:rsidRDefault="009C0586" w:rsidP="009C0586">
            <w:pPr>
              <w:rPr>
                <w:rFonts w:ascii="Times New Roman" w:hAnsi="Times New Roman" w:cs="Times New Roman"/>
                <w:b/>
                <w:bCs/>
                <w:sz w:val="24"/>
                <w:szCs w:val="24"/>
              </w:rPr>
            </w:pPr>
            <w:r w:rsidRPr="009C0586">
              <w:rPr>
                <w:rFonts w:ascii="Times New Roman" w:hAnsi="Times New Roman" w:cs="Times New Roman"/>
                <w:b/>
                <w:bCs/>
                <w:sz w:val="24"/>
                <w:szCs w:val="24"/>
              </w:rPr>
              <w:lastRenderedPageBreak/>
              <w:t>Реализирани проекти/инициативи със задграничните мисии, с българските артистични общности в чужбина и други партньори от ДКИ</w:t>
            </w:r>
          </w:p>
        </w:tc>
        <w:tc>
          <w:tcPr>
            <w:tcW w:w="2835" w:type="dxa"/>
          </w:tcPr>
          <w:p w14:paraId="5D2AED6F" w14:textId="77777777" w:rsidR="009C0586" w:rsidRPr="009C0586" w:rsidRDefault="009C0586" w:rsidP="009C0586">
            <w:pPr>
              <w:rPr>
                <w:rFonts w:ascii="Times New Roman" w:hAnsi="Times New Roman" w:cs="Times New Roman"/>
                <w:b/>
                <w:bCs/>
                <w:sz w:val="24"/>
                <w:szCs w:val="24"/>
              </w:rPr>
            </w:pPr>
            <w:r w:rsidRPr="009C0586">
              <w:rPr>
                <w:rFonts w:ascii="Times New Roman" w:hAnsi="Times New Roman" w:cs="Times New Roman"/>
                <w:b/>
                <w:bCs/>
                <w:sz w:val="24"/>
                <w:szCs w:val="24"/>
              </w:rPr>
              <w:t>Брой</w:t>
            </w:r>
          </w:p>
        </w:tc>
        <w:tc>
          <w:tcPr>
            <w:tcW w:w="1705" w:type="dxa"/>
          </w:tcPr>
          <w:p w14:paraId="52E3A26D" w14:textId="77777777" w:rsidR="009C0586" w:rsidRPr="009C0586" w:rsidRDefault="009C0586" w:rsidP="009C0586">
            <w:pPr>
              <w:jc w:val="center"/>
              <w:rPr>
                <w:rFonts w:ascii="Times New Roman" w:hAnsi="Times New Roman" w:cs="Times New Roman"/>
                <w:b/>
                <w:bCs/>
                <w:sz w:val="24"/>
                <w:szCs w:val="24"/>
              </w:rPr>
            </w:pPr>
            <w:r w:rsidRPr="009C0586">
              <w:rPr>
                <w:rFonts w:ascii="Times New Roman" w:hAnsi="Times New Roman" w:cs="Times New Roman"/>
                <w:b/>
                <w:bCs/>
                <w:sz w:val="24"/>
                <w:szCs w:val="24"/>
              </w:rPr>
              <w:t>25</w:t>
            </w:r>
          </w:p>
        </w:tc>
      </w:tr>
      <w:tr w:rsidR="009C0586" w:rsidRPr="009C0586" w14:paraId="5A4A9FB3" w14:textId="77777777" w:rsidTr="009C0586">
        <w:tc>
          <w:tcPr>
            <w:tcW w:w="4815" w:type="dxa"/>
          </w:tcPr>
          <w:p w14:paraId="4AA9E37F" w14:textId="77777777" w:rsidR="009C0586" w:rsidRPr="009C0586" w:rsidRDefault="009C0586" w:rsidP="009C0586">
            <w:pPr>
              <w:rPr>
                <w:rFonts w:ascii="Times New Roman" w:hAnsi="Times New Roman" w:cs="Times New Roman"/>
                <w:b/>
                <w:bCs/>
                <w:sz w:val="24"/>
                <w:szCs w:val="24"/>
              </w:rPr>
            </w:pPr>
            <w:r w:rsidRPr="009C0586">
              <w:rPr>
                <w:rFonts w:ascii="Times New Roman" w:hAnsi="Times New Roman" w:cs="Times New Roman"/>
                <w:b/>
                <w:bCs/>
                <w:sz w:val="24"/>
                <w:szCs w:val="24"/>
              </w:rPr>
              <w:t>Управление и поддържане на Художествения фонд, експозиции в галерия „Мисията”</w:t>
            </w:r>
          </w:p>
        </w:tc>
        <w:tc>
          <w:tcPr>
            <w:tcW w:w="2835" w:type="dxa"/>
          </w:tcPr>
          <w:p w14:paraId="7289694F" w14:textId="77777777" w:rsidR="009C0586" w:rsidRPr="009C0586" w:rsidRDefault="009C0586" w:rsidP="009C0586">
            <w:pPr>
              <w:rPr>
                <w:rFonts w:ascii="Times New Roman" w:hAnsi="Times New Roman" w:cs="Times New Roman"/>
                <w:b/>
                <w:bCs/>
                <w:sz w:val="24"/>
                <w:szCs w:val="24"/>
              </w:rPr>
            </w:pPr>
            <w:r w:rsidRPr="009C0586">
              <w:rPr>
                <w:rFonts w:ascii="Times New Roman" w:hAnsi="Times New Roman" w:cs="Times New Roman"/>
                <w:b/>
                <w:bCs/>
                <w:sz w:val="24"/>
                <w:szCs w:val="24"/>
              </w:rPr>
              <w:t>Брой</w:t>
            </w:r>
          </w:p>
        </w:tc>
        <w:tc>
          <w:tcPr>
            <w:tcW w:w="1705" w:type="dxa"/>
          </w:tcPr>
          <w:p w14:paraId="1C99FB4E" w14:textId="77777777" w:rsidR="009C0586" w:rsidRPr="009C0586" w:rsidRDefault="009C0586" w:rsidP="009C0586">
            <w:pPr>
              <w:jc w:val="center"/>
              <w:rPr>
                <w:rFonts w:ascii="Times New Roman" w:hAnsi="Times New Roman" w:cs="Times New Roman"/>
                <w:b/>
                <w:bCs/>
                <w:sz w:val="24"/>
                <w:szCs w:val="24"/>
              </w:rPr>
            </w:pPr>
            <w:r w:rsidRPr="009C0586">
              <w:rPr>
                <w:rFonts w:ascii="Times New Roman" w:hAnsi="Times New Roman" w:cs="Times New Roman"/>
                <w:b/>
                <w:bCs/>
                <w:sz w:val="24"/>
                <w:szCs w:val="24"/>
              </w:rPr>
              <w:t>10</w:t>
            </w:r>
          </w:p>
        </w:tc>
      </w:tr>
      <w:tr w:rsidR="009C0586" w:rsidRPr="009C0586" w14:paraId="0E5B6DED" w14:textId="77777777" w:rsidTr="009C0586">
        <w:tc>
          <w:tcPr>
            <w:tcW w:w="4815" w:type="dxa"/>
          </w:tcPr>
          <w:p w14:paraId="7BDD70FD" w14:textId="77777777" w:rsidR="009C0586" w:rsidRPr="009C0586" w:rsidRDefault="009C0586" w:rsidP="009C0586">
            <w:pPr>
              <w:rPr>
                <w:rFonts w:ascii="Times New Roman" w:hAnsi="Times New Roman" w:cs="Times New Roman"/>
                <w:b/>
                <w:bCs/>
                <w:sz w:val="24"/>
                <w:szCs w:val="24"/>
              </w:rPr>
            </w:pPr>
            <w:r w:rsidRPr="009C0586">
              <w:rPr>
                <w:rFonts w:ascii="Times New Roman" w:hAnsi="Times New Roman" w:cs="Times New Roman"/>
                <w:b/>
                <w:bCs/>
                <w:sz w:val="24"/>
                <w:szCs w:val="24"/>
              </w:rPr>
              <w:t>Дейности и продукти на ДКИ, насочени към основните партньори.</w:t>
            </w:r>
          </w:p>
        </w:tc>
        <w:tc>
          <w:tcPr>
            <w:tcW w:w="2835" w:type="dxa"/>
          </w:tcPr>
          <w:p w14:paraId="79448761" w14:textId="77777777" w:rsidR="009C0586" w:rsidRPr="009C0586" w:rsidRDefault="009C0586" w:rsidP="009C0586">
            <w:pPr>
              <w:rPr>
                <w:rFonts w:ascii="Times New Roman" w:hAnsi="Times New Roman" w:cs="Times New Roman"/>
                <w:b/>
                <w:bCs/>
                <w:sz w:val="24"/>
                <w:szCs w:val="24"/>
              </w:rPr>
            </w:pPr>
            <w:r w:rsidRPr="009C0586">
              <w:rPr>
                <w:rFonts w:ascii="Times New Roman" w:hAnsi="Times New Roman" w:cs="Times New Roman"/>
                <w:b/>
                <w:bCs/>
                <w:sz w:val="24"/>
                <w:szCs w:val="24"/>
              </w:rPr>
              <w:t>Брой</w:t>
            </w:r>
          </w:p>
        </w:tc>
        <w:tc>
          <w:tcPr>
            <w:tcW w:w="1705" w:type="dxa"/>
          </w:tcPr>
          <w:p w14:paraId="550A7C9D" w14:textId="77777777" w:rsidR="009C0586" w:rsidRPr="009C0586" w:rsidRDefault="009C0586" w:rsidP="009C0586">
            <w:pPr>
              <w:jc w:val="center"/>
              <w:rPr>
                <w:rFonts w:ascii="Times New Roman" w:hAnsi="Times New Roman" w:cs="Times New Roman"/>
                <w:b/>
                <w:bCs/>
                <w:sz w:val="24"/>
                <w:szCs w:val="24"/>
              </w:rPr>
            </w:pPr>
            <w:r w:rsidRPr="009C0586">
              <w:rPr>
                <w:rFonts w:ascii="Times New Roman" w:hAnsi="Times New Roman" w:cs="Times New Roman"/>
                <w:b/>
                <w:bCs/>
                <w:sz w:val="24"/>
                <w:szCs w:val="24"/>
              </w:rPr>
              <w:t>10</w:t>
            </w:r>
          </w:p>
        </w:tc>
      </w:tr>
      <w:tr w:rsidR="009C0586" w:rsidRPr="009C0586" w14:paraId="0A9218BE" w14:textId="77777777" w:rsidTr="009C0586">
        <w:tc>
          <w:tcPr>
            <w:tcW w:w="4815" w:type="dxa"/>
          </w:tcPr>
          <w:p w14:paraId="6494DD3C" w14:textId="77777777" w:rsidR="009C0586" w:rsidRPr="009C0586" w:rsidRDefault="009C0586" w:rsidP="009C0586">
            <w:pPr>
              <w:rPr>
                <w:rFonts w:ascii="Times New Roman" w:hAnsi="Times New Roman" w:cs="Times New Roman"/>
                <w:b/>
                <w:bCs/>
                <w:sz w:val="24"/>
                <w:szCs w:val="24"/>
              </w:rPr>
            </w:pPr>
            <w:r w:rsidRPr="009C0586">
              <w:rPr>
                <w:rFonts w:ascii="Times New Roman" w:hAnsi="Times New Roman" w:cs="Times New Roman"/>
                <w:b/>
                <w:bCs/>
                <w:sz w:val="24"/>
                <w:szCs w:val="24"/>
              </w:rPr>
              <w:t>Публичност на дейността на МВНР</w:t>
            </w:r>
          </w:p>
        </w:tc>
        <w:tc>
          <w:tcPr>
            <w:tcW w:w="2835" w:type="dxa"/>
            <w:vAlign w:val="center"/>
          </w:tcPr>
          <w:p w14:paraId="3DF83338" w14:textId="77777777" w:rsidR="009C0586" w:rsidRPr="009C0586" w:rsidRDefault="009C0586" w:rsidP="009C0586">
            <w:pPr>
              <w:rPr>
                <w:rFonts w:ascii="Times New Roman" w:hAnsi="Times New Roman" w:cs="Times New Roman"/>
                <w:sz w:val="24"/>
                <w:szCs w:val="24"/>
              </w:rPr>
            </w:pPr>
            <w:r w:rsidRPr="009C0586">
              <w:rPr>
                <w:rFonts w:ascii="Times New Roman" w:hAnsi="Times New Roman" w:cs="Times New Roman"/>
                <w:sz w:val="24"/>
                <w:szCs w:val="24"/>
              </w:rPr>
              <w:t>Степен на откритост на външнополитическите действия в съответствие с нормативните документи</w:t>
            </w:r>
          </w:p>
        </w:tc>
        <w:tc>
          <w:tcPr>
            <w:tcW w:w="1705" w:type="dxa"/>
            <w:vAlign w:val="center"/>
          </w:tcPr>
          <w:p w14:paraId="75D1BED0" w14:textId="77777777" w:rsidR="009C0586" w:rsidRPr="009C0586" w:rsidRDefault="009C0586" w:rsidP="009C0586">
            <w:pPr>
              <w:jc w:val="center"/>
              <w:rPr>
                <w:rFonts w:ascii="Times New Roman" w:hAnsi="Times New Roman" w:cs="Times New Roman"/>
                <w:sz w:val="24"/>
                <w:szCs w:val="24"/>
              </w:rPr>
            </w:pPr>
            <w:r w:rsidRPr="009C0586">
              <w:rPr>
                <w:rFonts w:ascii="Times New Roman" w:hAnsi="Times New Roman" w:cs="Times New Roman"/>
                <w:sz w:val="24"/>
                <w:szCs w:val="24"/>
                <w:lang w:val="en-US"/>
              </w:rPr>
              <w:t>100 %</w:t>
            </w:r>
          </w:p>
        </w:tc>
      </w:tr>
    </w:tbl>
    <w:p w14:paraId="7B213798" w14:textId="77777777" w:rsidR="009D0620" w:rsidRPr="00823FED" w:rsidRDefault="009D0620" w:rsidP="00716035">
      <w:pPr>
        <w:spacing w:after="0" w:line="240" w:lineRule="auto"/>
        <w:ind w:firstLine="284"/>
        <w:jc w:val="both"/>
        <w:rPr>
          <w:rFonts w:ascii="Cambria" w:hAnsi="Cambria" w:cstheme="minorHAnsi"/>
        </w:rPr>
      </w:pPr>
    </w:p>
    <w:p w14:paraId="445EBCF4" w14:textId="77777777" w:rsidR="00DD0946" w:rsidRPr="00823FED" w:rsidRDefault="00CF6B20" w:rsidP="00716035">
      <w:pPr>
        <w:spacing w:after="0" w:line="240" w:lineRule="auto"/>
        <w:jc w:val="both"/>
        <w:rPr>
          <w:rFonts w:ascii="Cambria" w:hAnsi="Cambria" w:cstheme="minorHAnsi"/>
          <w:b/>
          <w:bCs/>
          <w:color w:val="548DD4" w:themeColor="text2" w:themeTint="99"/>
        </w:rPr>
      </w:pPr>
      <w:r w:rsidRPr="00823FED">
        <w:rPr>
          <w:rFonts w:ascii="Cambria" w:hAnsi="Cambria" w:cstheme="minorHAnsi"/>
          <w:b/>
          <w:bCs/>
          <w:color w:val="548DD4" w:themeColor="text2" w:themeTint="99"/>
        </w:rPr>
        <w:t>По отношение на набелязаните ключови индикатори следва да се отчете:</w:t>
      </w:r>
    </w:p>
    <w:p w14:paraId="0183A480" w14:textId="77777777" w:rsidR="007B346C" w:rsidRPr="00823FED" w:rsidRDefault="007B346C" w:rsidP="00716035">
      <w:pPr>
        <w:spacing w:after="0" w:line="240" w:lineRule="auto"/>
        <w:jc w:val="both"/>
        <w:rPr>
          <w:rFonts w:ascii="Cambria" w:hAnsi="Cambria" w:cstheme="minorHAnsi"/>
          <w:b/>
          <w:i/>
        </w:rPr>
      </w:pPr>
    </w:p>
    <w:p w14:paraId="12C9847C" w14:textId="77777777" w:rsidR="001000BF" w:rsidRPr="00716035" w:rsidRDefault="001000BF" w:rsidP="001000BF">
      <w:pPr>
        <w:autoSpaceDE w:val="0"/>
        <w:autoSpaceDN w:val="0"/>
        <w:adjustRightInd w:val="0"/>
        <w:spacing w:after="0" w:line="240" w:lineRule="auto"/>
        <w:jc w:val="both"/>
        <w:rPr>
          <w:rFonts w:ascii="Cambria" w:hAnsi="Cambria" w:cs="Times New Roman"/>
          <w:b/>
          <w:bCs/>
          <w:color w:val="548DD4" w:themeColor="text2" w:themeTint="99"/>
        </w:rPr>
      </w:pPr>
      <w:bookmarkStart w:id="1" w:name="_Toc492981931"/>
      <w:r w:rsidRPr="00716035">
        <w:rPr>
          <w:rFonts w:ascii="Cambria" w:hAnsi="Cambria" w:cs="Times New Roman"/>
          <w:b/>
          <w:bCs/>
          <w:color w:val="548DD4" w:themeColor="text2" w:themeTint="99"/>
        </w:rPr>
        <w:t>Публични дейности, организирани от ДИ</w:t>
      </w:r>
    </w:p>
    <w:p w14:paraId="57EC4956" w14:textId="77777777" w:rsidR="001000BF" w:rsidRPr="005F5D96" w:rsidRDefault="001000BF" w:rsidP="001000BF">
      <w:pPr>
        <w:pStyle w:val="text"/>
        <w:spacing w:after="0"/>
        <w:ind w:firstLine="360"/>
        <w:rPr>
          <w:rFonts w:ascii="Cambria" w:hAnsi="Cambria"/>
          <w:bCs/>
          <w:iCs/>
          <w:sz w:val="22"/>
          <w:szCs w:val="22"/>
          <w:lang w:val="bg-BG"/>
        </w:rPr>
      </w:pPr>
      <w:r w:rsidRPr="005F5D96">
        <w:rPr>
          <w:rFonts w:ascii="Cambria" w:hAnsi="Cambria"/>
          <w:bCs/>
          <w:iCs/>
          <w:sz w:val="22"/>
          <w:szCs w:val="22"/>
          <w:lang w:val="bg-BG"/>
        </w:rPr>
        <w:t>В отчетния период бяха</w:t>
      </w:r>
      <w:r>
        <w:rPr>
          <w:rFonts w:ascii="Cambria" w:hAnsi="Cambria"/>
          <w:bCs/>
          <w:iCs/>
          <w:sz w:val="22"/>
          <w:szCs w:val="22"/>
          <w:lang w:val="bg-BG"/>
        </w:rPr>
        <w:t xml:space="preserve"> организирани 3 публични лекции и к</w:t>
      </w:r>
      <w:r w:rsidRPr="005F5D96">
        <w:rPr>
          <w:rFonts w:ascii="Cambria" w:hAnsi="Cambria"/>
          <w:bCs/>
          <w:iCs/>
          <w:sz w:val="22"/>
          <w:szCs w:val="22"/>
          <w:lang w:val="bg-BG"/>
        </w:rPr>
        <w:t>о</w:t>
      </w:r>
      <w:r>
        <w:rPr>
          <w:rFonts w:ascii="Cambria" w:hAnsi="Cambria"/>
          <w:bCs/>
          <w:iCs/>
          <w:sz w:val="22"/>
          <w:szCs w:val="22"/>
          <w:lang w:val="bg-BG"/>
        </w:rPr>
        <w:t>нференции по различни външнополитически теми. В сътрудничество с чуждестранни партньори бяха проведени 6 публични прояви</w:t>
      </w:r>
      <w:r w:rsidRPr="005F5D96">
        <w:rPr>
          <w:rFonts w:ascii="Cambria" w:hAnsi="Cambria"/>
          <w:bCs/>
          <w:iCs/>
          <w:sz w:val="22"/>
          <w:szCs w:val="22"/>
        </w:rPr>
        <w:t>.</w:t>
      </w:r>
    </w:p>
    <w:p w14:paraId="1EC63C3D" w14:textId="77777777" w:rsidR="001000BF" w:rsidRPr="00716035" w:rsidRDefault="001000BF" w:rsidP="001000BF">
      <w:pPr>
        <w:autoSpaceDE w:val="0"/>
        <w:autoSpaceDN w:val="0"/>
        <w:adjustRightInd w:val="0"/>
        <w:spacing w:after="0" w:line="240" w:lineRule="auto"/>
        <w:jc w:val="both"/>
        <w:rPr>
          <w:rFonts w:ascii="Cambria" w:hAnsi="Cambria" w:cs="Times New Roman"/>
          <w:b/>
          <w:bCs/>
          <w:color w:val="548DD4" w:themeColor="text2" w:themeTint="99"/>
        </w:rPr>
      </w:pPr>
    </w:p>
    <w:p w14:paraId="3601BB64" w14:textId="77777777" w:rsidR="001000BF" w:rsidRPr="00716035" w:rsidRDefault="001000BF" w:rsidP="001000BF">
      <w:pPr>
        <w:autoSpaceDE w:val="0"/>
        <w:autoSpaceDN w:val="0"/>
        <w:adjustRightInd w:val="0"/>
        <w:spacing w:after="0" w:line="240" w:lineRule="auto"/>
        <w:jc w:val="both"/>
        <w:rPr>
          <w:rFonts w:ascii="Cambria" w:hAnsi="Cambria" w:cs="Times New Roman"/>
          <w:b/>
          <w:bCs/>
          <w:color w:val="548DD4" w:themeColor="text2" w:themeTint="99"/>
        </w:rPr>
      </w:pPr>
      <w:r w:rsidRPr="00716035">
        <w:rPr>
          <w:rFonts w:ascii="Cambria" w:hAnsi="Cambria" w:cs="Times New Roman"/>
          <w:b/>
          <w:bCs/>
          <w:color w:val="548DD4" w:themeColor="text2" w:themeTint="99"/>
        </w:rPr>
        <w:t>Служители от МВнР и от държавната администрация, обучавани в програми на Дипломатическия институт</w:t>
      </w:r>
    </w:p>
    <w:p w14:paraId="7B7EACE3" w14:textId="3445C0A1" w:rsidR="001000BF" w:rsidRPr="005F5D96" w:rsidRDefault="001000BF" w:rsidP="001000BF">
      <w:pPr>
        <w:pStyle w:val="text"/>
        <w:spacing w:after="0"/>
        <w:ind w:firstLine="360"/>
        <w:rPr>
          <w:rFonts w:ascii="Cambria" w:hAnsi="Cambria"/>
          <w:sz w:val="22"/>
          <w:szCs w:val="22"/>
          <w:lang w:val="bg-BG"/>
        </w:rPr>
      </w:pPr>
      <w:r>
        <w:rPr>
          <w:rFonts w:ascii="Cambria" w:hAnsi="Cambria"/>
          <w:bCs/>
          <w:sz w:val="22"/>
          <w:szCs w:val="22"/>
          <w:lang w:val="bg-BG"/>
        </w:rPr>
        <w:t>През 2021 г. Дипломатическият институт проведе 1</w:t>
      </w:r>
      <w:r w:rsidR="00E405FC">
        <w:rPr>
          <w:rFonts w:ascii="Cambria" w:hAnsi="Cambria"/>
          <w:bCs/>
          <w:sz w:val="22"/>
          <w:szCs w:val="22"/>
          <w:lang w:val="bg-BG"/>
        </w:rPr>
        <w:t>6</w:t>
      </w:r>
      <w:r>
        <w:rPr>
          <w:rFonts w:ascii="Cambria" w:hAnsi="Cambria"/>
          <w:bCs/>
          <w:sz w:val="22"/>
          <w:szCs w:val="22"/>
          <w:lang w:val="bg-BG"/>
        </w:rPr>
        <w:t xml:space="preserve"> обучителни курса и семинара, в т.ч. и курс по чуждоезикова подготовка за служителите на министерството</w:t>
      </w:r>
      <w:r w:rsidRPr="005F5D96">
        <w:rPr>
          <w:rFonts w:ascii="Cambria" w:hAnsi="Cambria"/>
          <w:sz w:val="22"/>
          <w:szCs w:val="22"/>
          <w:lang w:val="bg-BG"/>
        </w:rPr>
        <w:t>.</w:t>
      </w:r>
    </w:p>
    <w:p w14:paraId="45BB7E32" w14:textId="77777777" w:rsidR="001000BF" w:rsidRPr="00716035" w:rsidRDefault="001000BF" w:rsidP="001000BF">
      <w:pPr>
        <w:autoSpaceDE w:val="0"/>
        <w:autoSpaceDN w:val="0"/>
        <w:adjustRightInd w:val="0"/>
        <w:spacing w:after="0" w:line="240" w:lineRule="auto"/>
        <w:jc w:val="both"/>
        <w:rPr>
          <w:rFonts w:ascii="Cambria" w:hAnsi="Cambria" w:cs="Times New Roman"/>
          <w:b/>
          <w:bCs/>
          <w:color w:val="548DD4" w:themeColor="text2" w:themeTint="99"/>
        </w:rPr>
      </w:pPr>
      <w:r w:rsidRPr="00716035">
        <w:rPr>
          <w:rFonts w:ascii="Cambria" w:hAnsi="Cambria" w:cs="Times New Roman"/>
          <w:b/>
          <w:bCs/>
          <w:color w:val="548DD4" w:themeColor="text2" w:themeTint="99"/>
        </w:rPr>
        <w:tab/>
      </w:r>
    </w:p>
    <w:p w14:paraId="44E51636" w14:textId="77777777" w:rsidR="001000BF" w:rsidRPr="00716035" w:rsidRDefault="001000BF" w:rsidP="001000BF">
      <w:pPr>
        <w:autoSpaceDE w:val="0"/>
        <w:autoSpaceDN w:val="0"/>
        <w:adjustRightInd w:val="0"/>
        <w:spacing w:after="0" w:line="240" w:lineRule="auto"/>
        <w:jc w:val="both"/>
        <w:rPr>
          <w:rFonts w:ascii="Cambria" w:hAnsi="Cambria" w:cs="Times New Roman"/>
          <w:b/>
          <w:bCs/>
          <w:color w:val="548DD4" w:themeColor="text2" w:themeTint="99"/>
        </w:rPr>
      </w:pPr>
      <w:r w:rsidRPr="00716035">
        <w:rPr>
          <w:rFonts w:ascii="Cambria" w:hAnsi="Cambria" w:cs="Times New Roman"/>
          <w:b/>
          <w:bCs/>
          <w:color w:val="548DD4" w:themeColor="text2" w:themeTint="99"/>
        </w:rPr>
        <w:t>Реализирани проекти/инициативи със задграничните мисии, с българските артистични общности в чужбина и други партньори от ДКИ</w:t>
      </w:r>
    </w:p>
    <w:p w14:paraId="2391EB7D" w14:textId="0D1C2B87" w:rsidR="001000BF" w:rsidRPr="005F5D96" w:rsidRDefault="001000BF" w:rsidP="001000BF">
      <w:pPr>
        <w:autoSpaceDE w:val="0"/>
        <w:autoSpaceDN w:val="0"/>
        <w:adjustRightInd w:val="0"/>
        <w:spacing w:after="0" w:line="240" w:lineRule="auto"/>
        <w:ind w:firstLine="284"/>
        <w:jc w:val="both"/>
        <w:rPr>
          <w:rFonts w:ascii="Cambria" w:eastAsia="Times New Roman" w:hAnsi="Cambria" w:cs="Times New Roman"/>
        </w:rPr>
      </w:pPr>
      <w:r w:rsidRPr="005F5D96">
        <w:rPr>
          <w:rFonts w:ascii="Cambria" w:eastAsia="Times New Roman" w:hAnsi="Cambria" w:cs="Times New Roman"/>
        </w:rPr>
        <w:t xml:space="preserve">През отчетния период, </w:t>
      </w:r>
      <w:r>
        <w:rPr>
          <w:rFonts w:ascii="Cambria" w:eastAsia="Times New Roman" w:hAnsi="Cambria" w:cs="Times New Roman"/>
        </w:rPr>
        <w:t>ДКИ съвместно със ЗП промотираха</w:t>
      </w:r>
      <w:r w:rsidRPr="005F5D96">
        <w:rPr>
          <w:rFonts w:ascii="Cambria" w:eastAsia="Times New Roman" w:hAnsi="Cambria" w:cs="Times New Roman"/>
        </w:rPr>
        <w:t xml:space="preserve"> български филмови продукции и подпомагаха българско участие в международни филмови фестивали. Институтът предостави на програмите на мисиите </w:t>
      </w:r>
      <w:r w:rsidR="00E405FC">
        <w:rPr>
          <w:rFonts w:ascii="Cambria" w:eastAsia="Times New Roman" w:hAnsi="Cambria" w:cs="Times New Roman"/>
        </w:rPr>
        <w:t>10</w:t>
      </w:r>
      <w:r w:rsidRPr="005F5D96">
        <w:rPr>
          <w:rFonts w:ascii="Cambria" w:hAnsi="Cambria"/>
        </w:rPr>
        <w:t xml:space="preserve"> </w:t>
      </w:r>
      <w:r w:rsidRPr="005F5D96">
        <w:rPr>
          <w:rFonts w:ascii="Cambria" w:eastAsia="Times New Roman" w:hAnsi="Cambria" w:cs="Times New Roman"/>
        </w:rPr>
        <w:t>изложби от проекта „Пътуващи експозиции“.  Изготвени са дигитални продукти, с които ЗП да отбележат значими за България дати и събития.</w:t>
      </w:r>
      <w:r w:rsidRPr="005F5D96">
        <w:rPr>
          <w:rFonts w:ascii="Cambria" w:eastAsia="Times New Roman" w:hAnsi="Cambria" w:cs="Times New Roman"/>
          <w:b/>
        </w:rPr>
        <w:t xml:space="preserve">  </w:t>
      </w:r>
    </w:p>
    <w:p w14:paraId="3003D408" w14:textId="77777777" w:rsidR="001000BF" w:rsidRPr="00716035" w:rsidRDefault="001000BF" w:rsidP="001000BF">
      <w:pPr>
        <w:autoSpaceDE w:val="0"/>
        <w:autoSpaceDN w:val="0"/>
        <w:adjustRightInd w:val="0"/>
        <w:spacing w:after="0" w:line="240" w:lineRule="auto"/>
        <w:jc w:val="both"/>
        <w:rPr>
          <w:rFonts w:ascii="Cambria" w:hAnsi="Cambria" w:cs="Times New Roman"/>
          <w:b/>
          <w:bCs/>
          <w:color w:val="548DD4" w:themeColor="text2" w:themeTint="99"/>
        </w:rPr>
      </w:pPr>
    </w:p>
    <w:p w14:paraId="70AAB647" w14:textId="77777777" w:rsidR="001000BF" w:rsidRPr="00716035" w:rsidRDefault="001000BF" w:rsidP="001000BF">
      <w:pPr>
        <w:autoSpaceDE w:val="0"/>
        <w:autoSpaceDN w:val="0"/>
        <w:adjustRightInd w:val="0"/>
        <w:spacing w:after="0" w:line="240" w:lineRule="auto"/>
        <w:jc w:val="both"/>
        <w:rPr>
          <w:rFonts w:ascii="Cambria" w:hAnsi="Cambria" w:cs="Times New Roman"/>
          <w:b/>
          <w:bCs/>
          <w:color w:val="548DD4" w:themeColor="text2" w:themeTint="99"/>
        </w:rPr>
      </w:pPr>
      <w:r>
        <w:rPr>
          <w:rFonts w:ascii="Cambria" w:hAnsi="Cambria" w:cs="Times New Roman"/>
          <w:b/>
          <w:bCs/>
          <w:color w:val="548DD4" w:themeColor="text2" w:themeTint="99"/>
        </w:rPr>
        <w:t>Публичност на дейността на МВн</w:t>
      </w:r>
      <w:r w:rsidRPr="00716035">
        <w:rPr>
          <w:rFonts w:ascii="Cambria" w:hAnsi="Cambria" w:cs="Times New Roman"/>
          <w:b/>
          <w:bCs/>
          <w:color w:val="548DD4" w:themeColor="text2" w:themeTint="99"/>
        </w:rPr>
        <w:t>Р</w:t>
      </w:r>
    </w:p>
    <w:p w14:paraId="601FB27C" w14:textId="266006A7" w:rsidR="001000BF" w:rsidRPr="005F5D96" w:rsidRDefault="001000BF" w:rsidP="001000BF">
      <w:pPr>
        <w:pStyle w:val="NoSpacing"/>
        <w:ind w:firstLine="426"/>
        <w:jc w:val="both"/>
        <w:rPr>
          <w:rFonts w:ascii="Cambria" w:hAnsi="Cambria"/>
        </w:rPr>
      </w:pPr>
      <w:r w:rsidRPr="005F5D96">
        <w:rPr>
          <w:rFonts w:ascii="Cambria" w:hAnsi="Cambria"/>
        </w:rPr>
        <w:t>През 2021 г.</w:t>
      </w:r>
      <w:r>
        <w:rPr>
          <w:rFonts w:ascii="Cambria" w:hAnsi="Cambria"/>
        </w:rPr>
        <w:t xml:space="preserve"> дейността на министъра и ведомството бе </w:t>
      </w:r>
      <w:r w:rsidRPr="005F5D96">
        <w:rPr>
          <w:rFonts w:ascii="Cambria" w:hAnsi="Cambria"/>
        </w:rPr>
        <w:t>публично</w:t>
      </w:r>
      <w:r>
        <w:rPr>
          <w:rFonts w:ascii="Cambria" w:hAnsi="Cambria"/>
        </w:rPr>
        <w:t xml:space="preserve"> </w:t>
      </w:r>
      <w:r w:rsidRPr="005F5D96">
        <w:rPr>
          <w:rFonts w:ascii="Cambria" w:hAnsi="Cambria"/>
        </w:rPr>
        <w:t>представян</w:t>
      </w:r>
      <w:r>
        <w:rPr>
          <w:rFonts w:ascii="Cambria" w:hAnsi="Cambria"/>
        </w:rPr>
        <w:t>а</w:t>
      </w:r>
      <w:r w:rsidRPr="005F5D96">
        <w:rPr>
          <w:rFonts w:ascii="Cambria" w:hAnsi="Cambria"/>
        </w:rPr>
        <w:t xml:space="preserve"> чрез изготвяне и публикуване на съобщения до медиите от двустранни срещи, визити, участия в международни конференции и форуми и други събития от обществено значим характер</w:t>
      </w:r>
      <w:r>
        <w:rPr>
          <w:rFonts w:ascii="Cambria" w:hAnsi="Cambria"/>
        </w:rPr>
        <w:t>.</w:t>
      </w:r>
      <w:r w:rsidRPr="005F5D96">
        <w:rPr>
          <w:rFonts w:ascii="Cambria" w:hAnsi="Cambria"/>
        </w:rPr>
        <w:t xml:space="preserve"> Бяха изготвяни изявления на министъра и </w:t>
      </w:r>
      <w:r>
        <w:rPr>
          <w:rFonts w:ascii="Cambria" w:hAnsi="Cambria"/>
        </w:rPr>
        <w:t xml:space="preserve">бяха подготвяни </w:t>
      </w:r>
      <w:r w:rsidRPr="005F5D96">
        <w:rPr>
          <w:rFonts w:ascii="Cambria" w:hAnsi="Cambria"/>
        </w:rPr>
        <w:t>интервюта за медиите. Поддържа</w:t>
      </w:r>
      <w:r>
        <w:rPr>
          <w:rFonts w:ascii="Cambria" w:hAnsi="Cambria"/>
        </w:rPr>
        <w:t xml:space="preserve">но бе </w:t>
      </w:r>
      <w:r w:rsidRPr="005F5D96">
        <w:rPr>
          <w:rFonts w:ascii="Cambria" w:hAnsi="Cambria"/>
        </w:rPr>
        <w:t xml:space="preserve">унифицираното присъствие на МВнР и задграничните представителства на Република България в интернет, включително чрез </w:t>
      </w:r>
      <w:r>
        <w:rPr>
          <w:rFonts w:ascii="Cambria" w:hAnsi="Cambria"/>
        </w:rPr>
        <w:t>ежедневно</w:t>
      </w:r>
      <w:r w:rsidRPr="005F5D96">
        <w:rPr>
          <w:rFonts w:ascii="Cambria" w:hAnsi="Cambria"/>
        </w:rPr>
        <w:t xml:space="preserve"> обновяване на интернет страницата и профилите на министерството и н</w:t>
      </w:r>
      <w:r>
        <w:rPr>
          <w:rFonts w:ascii="Cambria" w:hAnsi="Cambria"/>
        </w:rPr>
        <w:t>а министъра в социалните мрежи.</w:t>
      </w:r>
    </w:p>
    <w:p w14:paraId="3B0F2014" w14:textId="77777777" w:rsidR="001000BF" w:rsidRPr="00716035" w:rsidRDefault="001000BF" w:rsidP="001000BF">
      <w:pPr>
        <w:autoSpaceDE w:val="0"/>
        <w:autoSpaceDN w:val="0"/>
        <w:adjustRightInd w:val="0"/>
        <w:spacing w:after="0" w:line="240" w:lineRule="auto"/>
        <w:jc w:val="both"/>
        <w:rPr>
          <w:rFonts w:ascii="Cambria" w:hAnsi="Cambria" w:cs="Times New Roman"/>
        </w:rPr>
      </w:pPr>
    </w:p>
    <w:p w14:paraId="596AF7B6" w14:textId="77777777" w:rsidR="008B3BAB" w:rsidRPr="00823FED" w:rsidRDefault="00A23258" w:rsidP="00716035">
      <w:pPr>
        <w:pStyle w:val="Heading1"/>
        <w:shd w:val="clear" w:color="auto" w:fill="FBD4B4" w:themeFill="accent6" w:themeFillTint="66"/>
        <w:ind w:firstLine="0"/>
        <w:rPr>
          <w:rFonts w:ascii="Cambria" w:hAnsi="Cambria" w:cstheme="minorHAnsi"/>
          <w:sz w:val="22"/>
          <w:szCs w:val="22"/>
        </w:rPr>
      </w:pPr>
      <w:r w:rsidRPr="00823FED">
        <w:rPr>
          <w:rFonts w:ascii="Cambria" w:hAnsi="Cambria" w:cstheme="minorHAnsi"/>
          <w:sz w:val="22"/>
          <w:szCs w:val="22"/>
        </w:rPr>
        <w:t>Област на политика:</w:t>
      </w:r>
      <w:r w:rsidR="008B3BAB" w:rsidRPr="00823FED">
        <w:rPr>
          <w:rFonts w:ascii="Cambria" w:hAnsi="Cambria" w:cstheme="minorHAnsi"/>
          <w:sz w:val="22"/>
          <w:szCs w:val="22"/>
        </w:rPr>
        <w:t xml:space="preserve"> „активна двустранна и многостранна дипломация“</w:t>
      </w:r>
      <w:bookmarkEnd w:id="1"/>
    </w:p>
    <w:p w14:paraId="77ADEECF" w14:textId="77777777" w:rsidR="00A23258" w:rsidRPr="00823FED" w:rsidRDefault="00A23258" w:rsidP="00716035">
      <w:pPr>
        <w:autoSpaceDE w:val="0"/>
        <w:autoSpaceDN w:val="0"/>
        <w:adjustRightInd w:val="0"/>
        <w:spacing w:after="0" w:line="240" w:lineRule="auto"/>
        <w:jc w:val="both"/>
        <w:rPr>
          <w:rFonts w:ascii="Cambria" w:hAnsi="Cambria" w:cstheme="minorHAnsi"/>
        </w:rPr>
      </w:pPr>
    </w:p>
    <w:p w14:paraId="66AF7867" w14:textId="77777777" w:rsidR="00257B22" w:rsidRPr="00823FED" w:rsidRDefault="00094B0D" w:rsidP="00716035">
      <w:pPr>
        <w:autoSpaceDE w:val="0"/>
        <w:autoSpaceDN w:val="0"/>
        <w:adjustRightInd w:val="0"/>
        <w:spacing w:after="0" w:line="240" w:lineRule="auto"/>
        <w:ind w:firstLine="450"/>
        <w:jc w:val="both"/>
        <w:rPr>
          <w:rFonts w:ascii="Cambria" w:hAnsi="Cambria" w:cstheme="minorHAnsi"/>
        </w:rPr>
      </w:pPr>
      <w:r w:rsidRPr="00823FED">
        <w:rPr>
          <w:rFonts w:ascii="Cambria" w:hAnsi="Cambria" w:cstheme="minorHAnsi"/>
        </w:rPr>
        <w:t>П</w:t>
      </w:r>
      <w:r w:rsidR="009026C4" w:rsidRPr="00823FED">
        <w:rPr>
          <w:rFonts w:ascii="Cambria" w:hAnsi="Cambria" w:cstheme="minorHAnsi"/>
        </w:rPr>
        <w:t>рез 20</w:t>
      </w:r>
      <w:r w:rsidR="00EC066D" w:rsidRPr="00823FED">
        <w:rPr>
          <w:rFonts w:ascii="Cambria" w:hAnsi="Cambria" w:cstheme="minorHAnsi"/>
        </w:rPr>
        <w:t>2</w:t>
      </w:r>
      <w:r w:rsidRPr="00823FED">
        <w:rPr>
          <w:rFonts w:ascii="Cambria" w:hAnsi="Cambria" w:cstheme="minorHAnsi"/>
        </w:rPr>
        <w:t>1</w:t>
      </w:r>
      <w:r w:rsidR="009026C4" w:rsidRPr="00823FED">
        <w:rPr>
          <w:rFonts w:ascii="Cambria" w:hAnsi="Cambria" w:cstheme="minorHAnsi"/>
        </w:rPr>
        <w:t xml:space="preserve"> г.</w:t>
      </w:r>
      <w:r w:rsidR="00703084" w:rsidRPr="00823FED">
        <w:rPr>
          <w:rFonts w:ascii="Cambria" w:hAnsi="Cambria" w:cstheme="minorHAnsi"/>
        </w:rPr>
        <w:t xml:space="preserve"> </w:t>
      </w:r>
      <w:r w:rsidR="00880B7B" w:rsidRPr="00823FED">
        <w:rPr>
          <w:rFonts w:ascii="Cambria" w:hAnsi="Cambria" w:cstheme="minorHAnsi"/>
        </w:rPr>
        <w:t xml:space="preserve">продължи </w:t>
      </w:r>
      <w:r w:rsidR="008B3BAB" w:rsidRPr="00823FED">
        <w:rPr>
          <w:rFonts w:ascii="Cambria" w:hAnsi="Cambria" w:cstheme="minorHAnsi"/>
        </w:rPr>
        <w:t>разработва</w:t>
      </w:r>
      <w:r w:rsidR="00880B7B" w:rsidRPr="00823FED">
        <w:rPr>
          <w:rFonts w:ascii="Cambria" w:hAnsi="Cambria" w:cstheme="minorHAnsi"/>
        </w:rPr>
        <w:t xml:space="preserve">нето </w:t>
      </w:r>
      <w:r w:rsidR="008B3BAB" w:rsidRPr="00823FED">
        <w:rPr>
          <w:rFonts w:ascii="Cambria" w:hAnsi="Cambria" w:cstheme="minorHAnsi"/>
        </w:rPr>
        <w:t xml:space="preserve">и </w:t>
      </w:r>
      <w:r w:rsidR="00880B7B" w:rsidRPr="00823FED">
        <w:rPr>
          <w:rFonts w:ascii="Cambria" w:hAnsi="Cambria" w:cstheme="minorHAnsi"/>
        </w:rPr>
        <w:t>отстояването</w:t>
      </w:r>
      <w:r w:rsidR="008B3BAB" w:rsidRPr="00823FED">
        <w:rPr>
          <w:rFonts w:ascii="Cambria" w:hAnsi="Cambria" w:cstheme="minorHAnsi"/>
        </w:rPr>
        <w:t xml:space="preserve"> на последователни </w:t>
      </w:r>
      <w:r w:rsidR="00880B7B" w:rsidRPr="00823FED">
        <w:rPr>
          <w:rFonts w:ascii="Cambria" w:hAnsi="Cambria" w:cstheme="minorHAnsi"/>
        </w:rPr>
        <w:t xml:space="preserve">аргументирани </w:t>
      </w:r>
      <w:r w:rsidR="008B3BAB" w:rsidRPr="00823FED">
        <w:rPr>
          <w:rFonts w:ascii="Cambria" w:hAnsi="Cambria" w:cstheme="minorHAnsi"/>
        </w:rPr>
        <w:t xml:space="preserve">национални позиции за защита на </w:t>
      </w:r>
      <w:r w:rsidR="00B755E2" w:rsidRPr="00823FED">
        <w:rPr>
          <w:rFonts w:ascii="Cambria" w:hAnsi="Cambria" w:cstheme="minorHAnsi"/>
        </w:rPr>
        <w:t>българските</w:t>
      </w:r>
      <w:r w:rsidR="008B3BAB" w:rsidRPr="00823FED">
        <w:rPr>
          <w:rFonts w:ascii="Cambria" w:hAnsi="Cambria" w:cstheme="minorHAnsi"/>
        </w:rPr>
        <w:t xml:space="preserve"> интереси</w:t>
      </w:r>
      <w:r w:rsidR="002C3FA3" w:rsidRPr="00823FED">
        <w:rPr>
          <w:rFonts w:ascii="Cambria" w:hAnsi="Cambria" w:cstheme="minorHAnsi"/>
        </w:rPr>
        <w:t>, в съответствие с външнополитическите приоритети на страната</w:t>
      </w:r>
      <w:r w:rsidR="008B3BAB" w:rsidRPr="00823FED">
        <w:rPr>
          <w:rFonts w:ascii="Cambria" w:hAnsi="Cambria" w:cstheme="minorHAnsi"/>
        </w:rPr>
        <w:t xml:space="preserve">. </w:t>
      </w:r>
    </w:p>
    <w:p w14:paraId="74AAF556" w14:textId="482D948A" w:rsidR="008B15B4" w:rsidRPr="00823FED" w:rsidRDefault="008B15B4" w:rsidP="00716035">
      <w:pPr>
        <w:autoSpaceDE w:val="0"/>
        <w:autoSpaceDN w:val="0"/>
        <w:adjustRightInd w:val="0"/>
        <w:spacing w:after="0" w:line="240" w:lineRule="auto"/>
        <w:ind w:firstLine="450"/>
        <w:jc w:val="both"/>
        <w:rPr>
          <w:rFonts w:ascii="Cambria" w:hAnsi="Cambria" w:cstheme="minorHAnsi"/>
        </w:rPr>
      </w:pPr>
      <w:r w:rsidRPr="00823FED">
        <w:rPr>
          <w:rFonts w:ascii="Cambria" w:hAnsi="Cambria" w:cstheme="minorHAnsi"/>
          <w:b/>
        </w:rPr>
        <w:t>Специфичният характер на политиката ограничава възможностите за нейното остойностяване с мерни единици.</w:t>
      </w:r>
      <w:r w:rsidRPr="00823FED">
        <w:rPr>
          <w:rFonts w:ascii="Cambria" w:hAnsi="Cambria" w:cstheme="minorHAnsi"/>
        </w:rPr>
        <w:t xml:space="preserve"> За целите на бюджетирането</w:t>
      </w:r>
      <w:r w:rsidR="00DB3BDE" w:rsidRPr="00823FED">
        <w:rPr>
          <w:rFonts w:ascii="Cambria" w:hAnsi="Cambria" w:cstheme="minorHAnsi"/>
        </w:rPr>
        <w:t xml:space="preserve"> </w:t>
      </w:r>
      <w:r w:rsidR="009026C4" w:rsidRPr="00823FED">
        <w:rPr>
          <w:rFonts w:ascii="Cambria" w:hAnsi="Cambria" w:cstheme="minorHAnsi"/>
        </w:rPr>
        <w:t>бяха</w:t>
      </w:r>
      <w:r w:rsidRPr="00823FED">
        <w:rPr>
          <w:rFonts w:ascii="Cambria" w:hAnsi="Cambria" w:cstheme="minorHAnsi"/>
        </w:rPr>
        <w:t xml:space="preserve"> подбрани определени индикатори, които да позволят мониторинг с условността, че </w:t>
      </w:r>
      <w:r w:rsidR="00B755E2" w:rsidRPr="00823FED">
        <w:rPr>
          <w:rFonts w:ascii="Cambria" w:hAnsi="Cambria" w:cstheme="minorHAnsi"/>
        </w:rPr>
        <w:t>ефектът от политиката като цяло е гарантирането на националната сигурност на страната</w:t>
      </w:r>
      <w:r w:rsidR="003D463A">
        <w:rPr>
          <w:rFonts w:ascii="Cambria" w:hAnsi="Cambria" w:cstheme="minorHAnsi"/>
        </w:rPr>
        <w:t xml:space="preserve"> и отстояването на българските интереси</w:t>
      </w:r>
      <w:r w:rsidR="000E557D" w:rsidRPr="00823FED">
        <w:rPr>
          <w:rFonts w:ascii="Cambria" w:hAnsi="Cambria" w:cstheme="minorHAnsi"/>
        </w:rPr>
        <w:t>. Дейностите са комплексни и с</w:t>
      </w:r>
      <w:r w:rsidR="00044170" w:rsidRPr="00823FED">
        <w:rPr>
          <w:rFonts w:ascii="Cambria" w:hAnsi="Cambria" w:cstheme="minorHAnsi"/>
        </w:rPr>
        <w:t xml:space="preserve"> развитие, което надхвърля рамката на програмното бюджетиране. </w:t>
      </w:r>
    </w:p>
    <w:p w14:paraId="5D92CFFD" w14:textId="77777777" w:rsidR="008B3BAB" w:rsidRPr="00823FED" w:rsidRDefault="008B3BAB" w:rsidP="00716035">
      <w:pPr>
        <w:spacing w:after="0" w:line="240" w:lineRule="auto"/>
        <w:jc w:val="both"/>
        <w:rPr>
          <w:rFonts w:ascii="Cambria" w:hAnsi="Cambria" w:cstheme="minorHAnsi"/>
          <w:i/>
          <w:color w:val="000000"/>
        </w:rPr>
      </w:pPr>
    </w:p>
    <w:tbl>
      <w:tblPr>
        <w:tblStyle w:val="1"/>
        <w:tblW w:w="9355" w:type="dxa"/>
        <w:tblLook w:val="04A0" w:firstRow="1" w:lastRow="0" w:firstColumn="1" w:lastColumn="0" w:noHBand="0" w:noVBand="1"/>
      </w:tblPr>
      <w:tblGrid>
        <w:gridCol w:w="2965"/>
        <w:gridCol w:w="3834"/>
        <w:gridCol w:w="2556"/>
      </w:tblGrid>
      <w:tr w:rsidR="009C0586" w:rsidRPr="009C0586" w14:paraId="0C5685FD" w14:textId="77777777" w:rsidTr="00044D8E">
        <w:tc>
          <w:tcPr>
            <w:tcW w:w="9355" w:type="dxa"/>
            <w:gridSpan w:val="3"/>
            <w:shd w:val="clear" w:color="auto" w:fill="FABF8F" w:themeFill="accent6" w:themeFillTint="99"/>
          </w:tcPr>
          <w:p w14:paraId="3AC0EF7E" w14:textId="77777777" w:rsidR="009C0586" w:rsidRPr="009C0586" w:rsidRDefault="009C0586" w:rsidP="009C0586">
            <w:pPr>
              <w:jc w:val="center"/>
              <w:rPr>
                <w:rFonts w:ascii="Times New Roman" w:hAnsi="Times New Roman" w:cs="Times New Roman"/>
                <w:b/>
                <w:iCs/>
                <w:sz w:val="24"/>
                <w:szCs w:val="24"/>
              </w:rPr>
            </w:pPr>
            <w:r w:rsidRPr="009C0586">
              <w:rPr>
                <w:rFonts w:ascii="Times New Roman" w:hAnsi="Times New Roman" w:cs="Times New Roman"/>
                <w:b/>
                <w:bCs/>
                <w:sz w:val="24"/>
                <w:szCs w:val="24"/>
              </w:rPr>
              <w:t>КЛЮЧОВИ ИНДИКАТОРИ ЗА ИЗПЪЛНЕНИЕ И ЦЕЛЕВИ СТОЙНОСТИ</w:t>
            </w:r>
          </w:p>
          <w:p w14:paraId="16B08121" w14:textId="77777777" w:rsidR="009C0586" w:rsidRPr="009C0586" w:rsidRDefault="009C0586" w:rsidP="009C0586">
            <w:pPr>
              <w:jc w:val="center"/>
              <w:rPr>
                <w:rFonts w:ascii="Times New Roman" w:hAnsi="Times New Roman" w:cs="Times New Roman"/>
                <w:b/>
                <w:bCs/>
                <w:iCs/>
                <w:sz w:val="24"/>
                <w:szCs w:val="24"/>
              </w:rPr>
            </w:pPr>
            <w:r w:rsidRPr="009C0586">
              <w:rPr>
                <w:rFonts w:ascii="Times New Roman" w:hAnsi="Times New Roman" w:cs="Times New Roman"/>
                <w:b/>
                <w:iCs/>
                <w:sz w:val="24"/>
                <w:szCs w:val="24"/>
              </w:rPr>
              <w:t>Област на политика „Активна двустранна и многостранна дипломация“</w:t>
            </w:r>
          </w:p>
        </w:tc>
      </w:tr>
      <w:tr w:rsidR="009C0586" w:rsidRPr="009C0586" w14:paraId="6B5A3D31" w14:textId="77777777" w:rsidTr="009C0586">
        <w:tc>
          <w:tcPr>
            <w:tcW w:w="2965" w:type="dxa"/>
            <w:shd w:val="clear" w:color="auto" w:fill="FABF8F" w:themeFill="accent6" w:themeFillTint="99"/>
          </w:tcPr>
          <w:p w14:paraId="6E5EFAD2" w14:textId="77777777" w:rsidR="009C0586" w:rsidRPr="009C0586" w:rsidRDefault="009C0586" w:rsidP="009C0586">
            <w:pPr>
              <w:jc w:val="center"/>
              <w:rPr>
                <w:rFonts w:ascii="Times New Roman" w:hAnsi="Times New Roman" w:cs="Times New Roman"/>
                <w:sz w:val="24"/>
                <w:szCs w:val="24"/>
              </w:rPr>
            </w:pPr>
            <w:r w:rsidRPr="009C0586">
              <w:rPr>
                <w:rFonts w:ascii="Times New Roman" w:hAnsi="Times New Roman" w:cs="Times New Roman"/>
                <w:b/>
                <w:bCs/>
                <w:sz w:val="24"/>
                <w:szCs w:val="24"/>
              </w:rPr>
              <w:t>Наименование на индикатора</w:t>
            </w:r>
          </w:p>
        </w:tc>
        <w:tc>
          <w:tcPr>
            <w:tcW w:w="3834" w:type="dxa"/>
            <w:shd w:val="clear" w:color="auto" w:fill="FABF8F" w:themeFill="accent6" w:themeFillTint="99"/>
          </w:tcPr>
          <w:p w14:paraId="4CC9482B" w14:textId="77777777" w:rsidR="009C0586" w:rsidRPr="009C0586" w:rsidRDefault="009C0586" w:rsidP="009C0586">
            <w:pPr>
              <w:jc w:val="center"/>
              <w:rPr>
                <w:rFonts w:ascii="Times New Roman" w:hAnsi="Times New Roman" w:cs="Times New Roman"/>
                <w:sz w:val="24"/>
                <w:szCs w:val="24"/>
              </w:rPr>
            </w:pPr>
            <w:r w:rsidRPr="009C0586">
              <w:rPr>
                <w:rFonts w:ascii="Times New Roman" w:hAnsi="Times New Roman" w:cs="Times New Roman"/>
                <w:b/>
                <w:bCs/>
                <w:sz w:val="24"/>
                <w:szCs w:val="24"/>
              </w:rPr>
              <w:t>Мерна единица</w:t>
            </w:r>
          </w:p>
        </w:tc>
        <w:tc>
          <w:tcPr>
            <w:tcW w:w="2556" w:type="dxa"/>
            <w:shd w:val="clear" w:color="auto" w:fill="FABF8F" w:themeFill="accent6" w:themeFillTint="99"/>
          </w:tcPr>
          <w:p w14:paraId="60E27974" w14:textId="29D217CA" w:rsidR="009C0586" w:rsidRPr="009C0586" w:rsidRDefault="009C0586" w:rsidP="009C0586">
            <w:pPr>
              <w:jc w:val="center"/>
              <w:rPr>
                <w:rFonts w:ascii="Times New Roman" w:hAnsi="Times New Roman" w:cs="Times New Roman"/>
                <w:sz w:val="24"/>
                <w:szCs w:val="24"/>
              </w:rPr>
            </w:pPr>
            <w:r w:rsidRPr="009C0586">
              <w:rPr>
                <w:rFonts w:ascii="Times New Roman" w:hAnsi="Times New Roman" w:cs="Times New Roman"/>
                <w:b/>
                <w:bCs/>
                <w:iCs/>
                <w:sz w:val="24"/>
                <w:szCs w:val="24"/>
              </w:rPr>
              <w:t>Отчет 202</w:t>
            </w:r>
            <w:r>
              <w:rPr>
                <w:rFonts w:ascii="Times New Roman" w:hAnsi="Times New Roman" w:cs="Times New Roman"/>
                <w:b/>
                <w:bCs/>
                <w:iCs/>
                <w:sz w:val="24"/>
                <w:szCs w:val="24"/>
                <w:lang w:val="en-US"/>
              </w:rPr>
              <w:t>1</w:t>
            </w:r>
            <w:r w:rsidRPr="009C0586">
              <w:rPr>
                <w:rFonts w:ascii="Times New Roman" w:hAnsi="Times New Roman" w:cs="Times New Roman"/>
                <w:b/>
                <w:bCs/>
                <w:iCs/>
                <w:sz w:val="24"/>
                <w:szCs w:val="24"/>
              </w:rPr>
              <w:t xml:space="preserve"> г.</w:t>
            </w:r>
          </w:p>
        </w:tc>
      </w:tr>
      <w:tr w:rsidR="009C0586" w:rsidRPr="009C0586" w14:paraId="5A3DB386" w14:textId="77777777" w:rsidTr="009C0586">
        <w:tc>
          <w:tcPr>
            <w:tcW w:w="2965" w:type="dxa"/>
            <w:vAlign w:val="center"/>
          </w:tcPr>
          <w:p w14:paraId="7FEA69C6" w14:textId="77777777" w:rsidR="009C0586" w:rsidRPr="009C0586" w:rsidRDefault="009C0586" w:rsidP="009C0586">
            <w:pPr>
              <w:rPr>
                <w:rFonts w:ascii="Times New Roman" w:hAnsi="Times New Roman" w:cs="Times New Roman"/>
                <w:b/>
                <w:bCs/>
                <w:sz w:val="24"/>
                <w:szCs w:val="24"/>
              </w:rPr>
            </w:pPr>
            <w:r w:rsidRPr="009C0586">
              <w:rPr>
                <w:rFonts w:ascii="Times New Roman" w:hAnsi="Times New Roman" w:cs="Times New Roman"/>
                <w:b/>
                <w:sz w:val="24"/>
                <w:szCs w:val="24"/>
              </w:rPr>
              <w:t>Ефективност на консулските служби на Република България в услуга на български и чуждестранни граждани</w:t>
            </w:r>
          </w:p>
        </w:tc>
        <w:tc>
          <w:tcPr>
            <w:tcW w:w="3834" w:type="dxa"/>
            <w:vAlign w:val="center"/>
          </w:tcPr>
          <w:p w14:paraId="5EE8BD33" w14:textId="77777777" w:rsidR="009C0586" w:rsidRPr="009C0586" w:rsidRDefault="009C0586" w:rsidP="009C0586">
            <w:pPr>
              <w:rPr>
                <w:rFonts w:ascii="Times New Roman" w:hAnsi="Times New Roman" w:cs="Times New Roman"/>
                <w:sz w:val="24"/>
                <w:szCs w:val="24"/>
              </w:rPr>
            </w:pPr>
            <w:r w:rsidRPr="009C0586">
              <w:rPr>
                <w:rFonts w:ascii="Times New Roman" w:hAnsi="Times New Roman" w:cs="Times New Roman"/>
                <w:sz w:val="24"/>
                <w:szCs w:val="24"/>
              </w:rPr>
              <w:t>Степен на ефективност</w:t>
            </w:r>
          </w:p>
        </w:tc>
        <w:tc>
          <w:tcPr>
            <w:tcW w:w="2556" w:type="dxa"/>
            <w:vAlign w:val="center"/>
          </w:tcPr>
          <w:p w14:paraId="21AF3980" w14:textId="77777777" w:rsidR="009C0586" w:rsidRPr="009C0586" w:rsidRDefault="009C0586" w:rsidP="009C0586">
            <w:pPr>
              <w:rPr>
                <w:rFonts w:ascii="Times New Roman" w:hAnsi="Times New Roman" w:cs="Times New Roman"/>
                <w:sz w:val="24"/>
                <w:szCs w:val="24"/>
              </w:rPr>
            </w:pPr>
            <w:r w:rsidRPr="009C0586">
              <w:rPr>
                <w:rFonts w:ascii="Times New Roman" w:hAnsi="Times New Roman" w:cs="Times New Roman"/>
                <w:sz w:val="24"/>
                <w:szCs w:val="24"/>
              </w:rPr>
              <w:t>Постигане на целевите стойности на показателите за изпълнение в програма 9</w:t>
            </w:r>
          </w:p>
        </w:tc>
      </w:tr>
      <w:tr w:rsidR="009C0586" w:rsidRPr="009C0586" w14:paraId="3DFBAE63" w14:textId="77777777" w:rsidTr="009C0586">
        <w:tc>
          <w:tcPr>
            <w:tcW w:w="2965" w:type="dxa"/>
            <w:vAlign w:val="center"/>
          </w:tcPr>
          <w:p w14:paraId="0C1CF539" w14:textId="77777777" w:rsidR="009C0586" w:rsidRPr="009C0586" w:rsidRDefault="009C0586" w:rsidP="009C0586">
            <w:pPr>
              <w:rPr>
                <w:rFonts w:ascii="Times New Roman" w:hAnsi="Times New Roman" w:cs="Times New Roman"/>
                <w:b/>
                <w:bCs/>
                <w:sz w:val="24"/>
                <w:szCs w:val="24"/>
              </w:rPr>
            </w:pPr>
            <w:r w:rsidRPr="009C0586">
              <w:rPr>
                <w:rFonts w:ascii="Times New Roman" w:hAnsi="Times New Roman" w:cs="Times New Roman"/>
                <w:b/>
                <w:sz w:val="24"/>
                <w:szCs w:val="24"/>
              </w:rPr>
              <w:t>Защита на български физически и юридически лица и български общности зад граница</w:t>
            </w:r>
          </w:p>
        </w:tc>
        <w:tc>
          <w:tcPr>
            <w:tcW w:w="3834" w:type="dxa"/>
            <w:vAlign w:val="center"/>
          </w:tcPr>
          <w:p w14:paraId="4DF84181" w14:textId="77777777" w:rsidR="009C0586" w:rsidRPr="009C0586" w:rsidRDefault="009C0586" w:rsidP="009C0586">
            <w:pPr>
              <w:rPr>
                <w:rFonts w:ascii="Times New Roman" w:hAnsi="Times New Roman" w:cs="Times New Roman"/>
                <w:sz w:val="24"/>
                <w:szCs w:val="24"/>
              </w:rPr>
            </w:pPr>
            <w:r w:rsidRPr="009C0586">
              <w:rPr>
                <w:rFonts w:ascii="Times New Roman" w:hAnsi="Times New Roman" w:cs="Times New Roman"/>
                <w:sz w:val="24"/>
                <w:szCs w:val="24"/>
              </w:rPr>
              <w:t>Степен на ефективност / удовлетвореност</w:t>
            </w:r>
          </w:p>
        </w:tc>
        <w:tc>
          <w:tcPr>
            <w:tcW w:w="2556" w:type="dxa"/>
            <w:vAlign w:val="center"/>
          </w:tcPr>
          <w:p w14:paraId="47F5DBBD" w14:textId="77777777" w:rsidR="009C0586" w:rsidRPr="009C0586" w:rsidRDefault="009C0586" w:rsidP="009C0586">
            <w:pPr>
              <w:rPr>
                <w:rFonts w:ascii="Times New Roman" w:hAnsi="Times New Roman" w:cs="Times New Roman"/>
                <w:sz w:val="24"/>
                <w:szCs w:val="24"/>
              </w:rPr>
            </w:pPr>
            <w:r w:rsidRPr="009C0586">
              <w:rPr>
                <w:rFonts w:ascii="Times New Roman" w:hAnsi="Times New Roman" w:cs="Times New Roman"/>
                <w:sz w:val="24"/>
                <w:szCs w:val="24"/>
              </w:rPr>
              <w:t>100 %</w:t>
            </w:r>
          </w:p>
        </w:tc>
      </w:tr>
      <w:tr w:rsidR="009C0586" w:rsidRPr="009C0586" w14:paraId="2B5B685E" w14:textId="77777777" w:rsidTr="009C0586">
        <w:tc>
          <w:tcPr>
            <w:tcW w:w="2965" w:type="dxa"/>
            <w:vAlign w:val="center"/>
          </w:tcPr>
          <w:p w14:paraId="7B5DE5CD" w14:textId="77777777" w:rsidR="009C0586" w:rsidRPr="009C0586" w:rsidRDefault="009C0586" w:rsidP="009C0586">
            <w:pPr>
              <w:rPr>
                <w:rFonts w:ascii="Times New Roman" w:hAnsi="Times New Roman" w:cs="Times New Roman"/>
                <w:b/>
                <w:bCs/>
                <w:sz w:val="24"/>
                <w:szCs w:val="24"/>
              </w:rPr>
            </w:pPr>
            <w:r w:rsidRPr="009C0586">
              <w:rPr>
                <w:rFonts w:ascii="Times New Roman" w:hAnsi="Times New Roman" w:cs="Times New Roman"/>
                <w:b/>
                <w:sz w:val="24"/>
                <w:szCs w:val="24"/>
              </w:rPr>
              <w:t>Защита на България пред Съда на ЕС и Общия съд на ЕС</w:t>
            </w:r>
          </w:p>
        </w:tc>
        <w:tc>
          <w:tcPr>
            <w:tcW w:w="3834" w:type="dxa"/>
            <w:vAlign w:val="center"/>
          </w:tcPr>
          <w:p w14:paraId="5C45E182" w14:textId="77777777" w:rsidR="009C0586" w:rsidRPr="009C0586" w:rsidRDefault="009C0586" w:rsidP="009C0586">
            <w:pPr>
              <w:rPr>
                <w:rFonts w:ascii="Times New Roman" w:hAnsi="Times New Roman" w:cs="Times New Roman"/>
                <w:sz w:val="24"/>
                <w:szCs w:val="24"/>
              </w:rPr>
            </w:pPr>
            <w:r w:rsidRPr="009C0586">
              <w:rPr>
                <w:rFonts w:ascii="Times New Roman" w:hAnsi="Times New Roman" w:cs="Times New Roman"/>
                <w:sz w:val="24"/>
                <w:szCs w:val="24"/>
              </w:rPr>
              <w:t>Степен на защита</w:t>
            </w:r>
          </w:p>
        </w:tc>
        <w:tc>
          <w:tcPr>
            <w:tcW w:w="2556" w:type="dxa"/>
            <w:vAlign w:val="center"/>
          </w:tcPr>
          <w:p w14:paraId="7FE911C3" w14:textId="77777777" w:rsidR="009C0586" w:rsidRPr="009C0586" w:rsidRDefault="009C0586" w:rsidP="009C0586">
            <w:pPr>
              <w:rPr>
                <w:rFonts w:ascii="Times New Roman" w:hAnsi="Times New Roman" w:cs="Times New Roman"/>
                <w:sz w:val="24"/>
                <w:szCs w:val="24"/>
              </w:rPr>
            </w:pPr>
            <w:r w:rsidRPr="009C0586">
              <w:rPr>
                <w:rFonts w:ascii="Times New Roman" w:hAnsi="Times New Roman" w:cs="Times New Roman"/>
                <w:iCs/>
                <w:sz w:val="24"/>
                <w:szCs w:val="24"/>
              </w:rPr>
              <w:t>100 %</w:t>
            </w:r>
          </w:p>
        </w:tc>
      </w:tr>
      <w:tr w:rsidR="009C0586" w:rsidRPr="009C0586" w14:paraId="6EF97F43" w14:textId="77777777" w:rsidTr="009C0586">
        <w:tc>
          <w:tcPr>
            <w:tcW w:w="2965" w:type="dxa"/>
            <w:vAlign w:val="center"/>
          </w:tcPr>
          <w:p w14:paraId="6CBFA1CE" w14:textId="77777777" w:rsidR="009C0586" w:rsidRPr="009C0586" w:rsidRDefault="009C0586" w:rsidP="009C0586">
            <w:pPr>
              <w:rPr>
                <w:rFonts w:ascii="Times New Roman" w:hAnsi="Times New Roman" w:cs="Times New Roman"/>
                <w:b/>
                <w:bCs/>
                <w:sz w:val="24"/>
                <w:szCs w:val="24"/>
              </w:rPr>
            </w:pPr>
            <w:r w:rsidRPr="009C0586">
              <w:rPr>
                <w:rFonts w:ascii="Times New Roman" w:hAnsi="Times New Roman" w:cs="Times New Roman"/>
                <w:b/>
                <w:sz w:val="24"/>
                <w:szCs w:val="24"/>
              </w:rPr>
              <w:t>Управление на българската помощ за развитие</w:t>
            </w:r>
          </w:p>
        </w:tc>
        <w:tc>
          <w:tcPr>
            <w:tcW w:w="3834" w:type="dxa"/>
            <w:vAlign w:val="center"/>
          </w:tcPr>
          <w:p w14:paraId="0EAF5CDE" w14:textId="77777777" w:rsidR="009C0586" w:rsidRPr="009C0586" w:rsidRDefault="009C0586" w:rsidP="009C0586">
            <w:pPr>
              <w:rPr>
                <w:rFonts w:ascii="Times New Roman" w:hAnsi="Times New Roman" w:cs="Times New Roman"/>
                <w:sz w:val="24"/>
                <w:szCs w:val="24"/>
              </w:rPr>
            </w:pPr>
            <w:r w:rsidRPr="009C0586">
              <w:rPr>
                <w:rFonts w:ascii="Times New Roman" w:hAnsi="Times New Roman" w:cs="Times New Roman"/>
                <w:sz w:val="24"/>
                <w:szCs w:val="24"/>
              </w:rPr>
              <w:t xml:space="preserve">Степен на усвояемост и съотносимост към приоритетите на българската външна политика </w:t>
            </w:r>
          </w:p>
        </w:tc>
        <w:tc>
          <w:tcPr>
            <w:tcW w:w="2556" w:type="dxa"/>
            <w:vAlign w:val="center"/>
          </w:tcPr>
          <w:p w14:paraId="788A5C07" w14:textId="77777777" w:rsidR="009C0586" w:rsidRPr="009C0586" w:rsidRDefault="009C0586" w:rsidP="009C0586">
            <w:pPr>
              <w:rPr>
                <w:rFonts w:ascii="Times New Roman" w:hAnsi="Times New Roman" w:cs="Times New Roman"/>
                <w:sz w:val="24"/>
                <w:szCs w:val="24"/>
              </w:rPr>
            </w:pPr>
            <w:r w:rsidRPr="009C0586">
              <w:rPr>
                <w:rFonts w:ascii="Times New Roman" w:hAnsi="Times New Roman" w:cs="Times New Roman"/>
                <w:iCs/>
                <w:sz w:val="24"/>
                <w:szCs w:val="24"/>
              </w:rPr>
              <w:t>100 %</w:t>
            </w:r>
          </w:p>
        </w:tc>
      </w:tr>
      <w:tr w:rsidR="009C0586" w:rsidRPr="009C0586" w14:paraId="2E7FD6FA" w14:textId="77777777" w:rsidTr="009C0586">
        <w:tc>
          <w:tcPr>
            <w:tcW w:w="2965" w:type="dxa"/>
            <w:vAlign w:val="center"/>
          </w:tcPr>
          <w:p w14:paraId="74941DF4" w14:textId="77777777" w:rsidR="009C0586" w:rsidRPr="009C0586" w:rsidRDefault="009C0586" w:rsidP="009C0586">
            <w:pPr>
              <w:rPr>
                <w:rFonts w:ascii="Times New Roman" w:hAnsi="Times New Roman" w:cs="Times New Roman"/>
                <w:b/>
                <w:bCs/>
                <w:sz w:val="24"/>
                <w:szCs w:val="24"/>
              </w:rPr>
            </w:pPr>
            <w:r w:rsidRPr="009C0586">
              <w:rPr>
                <w:rFonts w:ascii="Times New Roman" w:hAnsi="Times New Roman" w:cs="Times New Roman"/>
                <w:b/>
                <w:sz w:val="24"/>
                <w:szCs w:val="24"/>
              </w:rPr>
              <w:t xml:space="preserve">Участие на България във формирането на политики на ЕС и НАТО </w:t>
            </w:r>
          </w:p>
        </w:tc>
        <w:tc>
          <w:tcPr>
            <w:tcW w:w="3834" w:type="dxa"/>
            <w:vAlign w:val="center"/>
          </w:tcPr>
          <w:p w14:paraId="714E1A24" w14:textId="77777777" w:rsidR="009C0586" w:rsidRPr="009C0586" w:rsidRDefault="009C0586" w:rsidP="009C0586">
            <w:pPr>
              <w:rPr>
                <w:rFonts w:ascii="Times New Roman" w:hAnsi="Times New Roman" w:cs="Times New Roman"/>
                <w:sz w:val="24"/>
                <w:szCs w:val="24"/>
              </w:rPr>
            </w:pPr>
            <w:r w:rsidRPr="009C0586">
              <w:rPr>
                <w:rFonts w:ascii="Times New Roman" w:hAnsi="Times New Roman" w:cs="Times New Roman"/>
                <w:sz w:val="24"/>
                <w:szCs w:val="24"/>
              </w:rPr>
              <w:t>Подготовка и степен на реализация на български позиции и инициативи</w:t>
            </w:r>
          </w:p>
        </w:tc>
        <w:tc>
          <w:tcPr>
            <w:tcW w:w="2556" w:type="dxa"/>
            <w:vAlign w:val="center"/>
          </w:tcPr>
          <w:p w14:paraId="5C4DC4B2" w14:textId="77777777" w:rsidR="009C0586" w:rsidRPr="009C0586" w:rsidRDefault="009C0586" w:rsidP="009C0586">
            <w:pPr>
              <w:rPr>
                <w:rFonts w:ascii="Times New Roman" w:hAnsi="Times New Roman" w:cs="Times New Roman"/>
                <w:sz w:val="24"/>
                <w:szCs w:val="24"/>
              </w:rPr>
            </w:pPr>
            <w:r w:rsidRPr="009C0586">
              <w:rPr>
                <w:rFonts w:ascii="Times New Roman" w:hAnsi="Times New Roman" w:cs="Times New Roman"/>
                <w:sz w:val="24"/>
                <w:szCs w:val="24"/>
              </w:rPr>
              <w:t>Постигане на целевите стойности на показателите за изпълнение в Програма 5 и 8</w:t>
            </w:r>
          </w:p>
        </w:tc>
      </w:tr>
      <w:tr w:rsidR="009C0586" w:rsidRPr="009C0586" w14:paraId="7A08091A" w14:textId="77777777" w:rsidTr="009C0586">
        <w:tc>
          <w:tcPr>
            <w:tcW w:w="2965" w:type="dxa"/>
            <w:vAlign w:val="center"/>
          </w:tcPr>
          <w:p w14:paraId="79670763" w14:textId="77777777" w:rsidR="009C0586" w:rsidRPr="009C0586" w:rsidRDefault="009C0586" w:rsidP="009C0586">
            <w:pPr>
              <w:rPr>
                <w:rFonts w:ascii="Times New Roman" w:hAnsi="Times New Roman" w:cs="Times New Roman"/>
                <w:b/>
                <w:sz w:val="24"/>
                <w:szCs w:val="24"/>
              </w:rPr>
            </w:pPr>
            <w:r w:rsidRPr="009C0586">
              <w:rPr>
                <w:rFonts w:ascii="Times New Roman" w:hAnsi="Times New Roman" w:cs="Times New Roman"/>
                <w:b/>
                <w:sz w:val="24"/>
                <w:szCs w:val="24"/>
              </w:rPr>
              <w:t>Активни и прагматични двустранни отношения</w:t>
            </w:r>
          </w:p>
        </w:tc>
        <w:tc>
          <w:tcPr>
            <w:tcW w:w="3834" w:type="dxa"/>
            <w:vAlign w:val="center"/>
          </w:tcPr>
          <w:p w14:paraId="0093679D" w14:textId="77777777" w:rsidR="009C0586" w:rsidRPr="009C0586" w:rsidRDefault="009C0586" w:rsidP="009C0586">
            <w:pPr>
              <w:rPr>
                <w:rFonts w:ascii="Times New Roman" w:hAnsi="Times New Roman" w:cs="Times New Roman"/>
                <w:sz w:val="24"/>
                <w:szCs w:val="24"/>
              </w:rPr>
            </w:pPr>
            <w:r w:rsidRPr="009C0586">
              <w:rPr>
                <w:rFonts w:ascii="Times New Roman" w:hAnsi="Times New Roman" w:cs="Times New Roman"/>
                <w:sz w:val="24"/>
                <w:szCs w:val="24"/>
              </w:rPr>
              <w:t>Равнище и интензитет на политическия диалог, подписани двустранни споразумения и степен на тяхната реализация, подготвени, разменени двустранни посещения и др.</w:t>
            </w:r>
          </w:p>
        </w:tc>
        <w:tc>
          <w:tcPr>
            <w:tcW w:w="2556" w:type="dxa"/>
            <w:vAlign w:val="center"/>
          </w:tcPr>
          <w:p w14:paraId="31FAB53F" w14:textId="77777777" w:rsidR="009C0586" w:rsidRPr="009C0586" w:rsidRDefault="009C0586" w:rsidP="009C0586">
            <w:pPr>
              <w:rPr>
                <w:rFonts w:ascii="Times New Roman" w:hAnsi="Times New Roman" w:cs="Times New Roman"/>
                <w:sz w:val="24"/>
                <w:szCs w:val="24"/>
              </w:rPr>
            </w:pPr>
            <w:r w:rsidRPr="009C0586">
              <w:rPr>
                <w:rFonts w:ascii="Times New Roman" w:hAnsi="Times New Roman" w:cs="Times New Roman"/>
                <w:sz w:val="24"/>
                <w:szCs w:val="24"/>
              </w:rPr>
              <w:t>Постигане на целевите стойности на показателите за изпълнение в програми 6 и 8</w:t>
            </w:r>
          </w:p>
        </w:tc>
      </w:tr>
      <w:tr w:rsidR="009C0586" w:rsidRPr="009C0586" w14:paraId="398BFB99" w14:textId="77777777" w:rsidTr="009C0586">
        <w:tc>
          <w:tcPr>
            <w:tcW w:w="2965" w:type="dxa"/>
            <w:vAlign w:val="center"/>
          </w:tcPr>
          <w:p w14:paraId="21522046" w14:textId="77777777" w:rsidR="009C0586" w:rsidRPr="009C0586" w:rsidRDefault="009C0586" w:rsidP="009C0586">
            <w:pPr>
              <w:rPr>
                <w:rFonts w:ascii="Times New Roman" w:hAnsi="Times New Roman" w:cs="Times New Roman"/>
                <w:b/>
                <w:sz w:val="24"/>
                <w:szCs w:val="24"/>
              </w:rPr>
            </w:pPr>
            <w:r w:rsidRPr="009C0586">
              <w:rPr>
                <w:rFonts w:ascii="Times New Roman" w:hAnsi="Times New Roman" w:cs="Times New Roman"/>
                <w:b/>
                <w:sz w:val="24"/>
                <w:szCs w:val="24"/>
              </w:rPr>
              <w:t>Дейност на България в глобални и регионални международни организации и други многостранни формати</w:t>
            </w:r>
          </w:p>
        </w:tc>
        <w:tc>
          <w:tcPr>
            <w:tcW w:w="3834" w:type="dxa"/>
            <w:vAlign w:val="center"/>
          </w:tcPr>
          <w:p w14:paraId="66ACD600" w14:textId="77777777" w:rsidR="009C0586" w:rsidRPr="009C0586" w:rsidRDefault="009C0586" w:rsidP="009C0586">
            <w:pPr>
              <w:rPr>
                <w:rFonts w:ascii="Times New Roman" w:hAnsi="Times New Roman" w:cs="Times New Roman"/>
                <w:sz w:val="24"/>
                <w:szCs w:val="24"/>
              </w:rPr>
            </w:pPr>
            <w:r w:rsidRPr="009C0586">
              <w:rPr>
                <w:rFonts w:ascii="Times New Roman" w:hAnsi="Times New Roman" w:cs="Times New Roman"/>
                <w:sz w:val="24"/>
                <w:szCs w:val="24"/>
              </w:rPr>
              <w:t>Постигнат успех за български инициативи и кандидатури</w:t>
            </w:r>
          </w:p>
        </w:tc>
        <w:tc>
          <w:tcPr>
            <w:tcW w:w="2556" w:type="dxa"/>
            <w:vAlign w:val="center"/>
          </w:tcPr>
          <w:p w14:paraId="0F9A9D2A" w14:textId="77777777" w:rsidR="009C0586" w:rsidRPr="009C0586" w:rsidRDefault="009C0586" w:rsidP="009C0586">
            <w:pPr>
              <w:rPr>
                <w:rFonts w:ascii="Times New Roman" w:hAnsi="Times New Roman" w:cs="Times New Roman"/>
                <w:sz w:val="24"/>
                <w:szCs w:val="24"/>
              </w:rPr>
            </w:pPr>
            <w:r w:rsidRPr="009C0586">
              <w:rPr>
                <w:rFonts w:ascii="Times New Roman" w:hAnsi="Times New Roman" w:cs="Times New Roman"/>
                <w:iCs/>
                <w:sz w:val="24"/>
                <w:szCs w:val="24"/>
              </w:rPr>
              <w:t>100 %</w:t>
            </w:r>
          </w:p>
        </w:tc>
      </w:tr>
    </w:tbl>
    <w:p w14:paraId="322BD3D0" w14:textId="77777777" w:rsidR="002C0885" w:rsidRPr="00823FED" w:rsidRDefault="002C0885" w:rsidP="00716035">
      <w:pPr>
        <w:spacing w:after="0" w:line="240" w:lineRule="auto"/>
        <w:jc w:val="both"/>
        <w:rPr>
          <w:rFonts w:ascii="Cambria" w:hAnsi="Cambria" w:cstheme="minorHAnsi"/>
          <w:i/>
          <w:color w:val="000000"/>
        </w:rPr>
      </w:pPr>
    </w:p>
    <w:p w14:paraId="186C2805" w14:textId="77777777" w:rsidR="002D1419" w:rsidRPr="00823FED" w:rsidRDefault="002D1419" w:rsidP="002D1419">
      <w:pPr>
        <w:spacing w:after="0" w:line="240" w:lineRule="auto"/>
        <w:jc w:val="both"/>
        <w:rPr>
          <w:rFonts w:ascii="Cambria" w:hAnsi="Cambria" w:cstheme="minorHAnsi"/>
          <w:b/>
          <w:bCs/>
          <w:color w:val="548DD4" w:themeColor="text2" w:themeTint="99"/>
        </w:rPr>
      </w:pPr>
      <w:r w:rsidRPr="00823FED">
        <w:rPr>
          <w:rFonts w:ascii="Cambria" w:hAnsi="Cambria" w:cstheme="minorHAnsi"/>
          <w:b/>
          <w:bCs/>
          <w:color w:val="548DD4" w:themeColor="text2" w:themeTint="99"/>
        </w:rPr>
        <w:t>По отношение на набелязаните ключови индикатори следва да се отчете:</w:t>
      </w:r>
    </w:p>
    <w:p w14:paraId="4502B3DC" w14:textId="77777777" w:rsidR="002D1419" w:rsidRDefault="002D1419" w:rsidP="00716035">
      <w:pPr>
        <w:spacing w:after="0" w:line="240" w:lineRule="auto"/>
        <w:jc w:val="both"/>
        <w:rPr>
          <w:rFonts w:ascii="Cambria" w:hAnsi="Cambria" w:cstheme="minorHAnsi"/>
          <w:b/>
          <w:iCs/>
          <w:color w:val="548DD4" w:themeColor="text2" w:themeTint="99"/>
        </w:rPr>
      </w:pPr>
    </w:p>
    <w:p w14:paraId="5669ACDA" w14:textId="667A569C" w:rsidR="00D905CC" w:rsidRDefault="00D346BA" w:rsidP="00716035">
      <w:pPr>
        <w:spacing w:after="0" w:line="240" w:lineRule="auto"/>
        <w:jc w:val="both"/>
        <w:rPr>
          <w:rFonts w:ascii="Cambria" w:hAnsi="Cambria" w:cstheme="minorHAnsi"/>
          <w:b/>
          <w:iCs/>
          <w:color w:val="548DD4" w:themeColor="text2" w:themeTint="99"/>
        </w:rPr>
      </w:pPr>
      <w:r w:rsidRPr="00823FED">
        <w:rPr>
          <w:rFonts w:ascii="Cambria" w:hAnsi="Cambria" w:cstheme="minorHAnsi"/>
          <w:b/>
          <w:iCs/>
          <w:color w:val="548DD4" w:themeColor="text2" w:themeTint="99"/>
        </w:rPr>
        <w:t>Ефективност на консулските служби на Република България в услуга на български и чуждестранни граждани</w:t>
      </w:r>
    </w:p>
    <w:p w14:paraId="7E599B33" w14:textId="77777777" w:rsidR="00131211" w:rsidRPr="00823FED" w:rsidRDefault="00131211" w:rsidP="00716035">
      <w:pPr>
        <w:spacing w:after="0" w:line="240" w:lineRule="auto"/>
        <w:jc w:val="both"/>
        <w:rPr>
          <w:rFonts w:ascii="Cambria" w:hAnsi="Cambria" w:cstheme="minorHAnsi"/>
          <w:b/>
          <w:iCs/>
          <w:color w:val="548DD4" w:themeColor="text2" w:themeTint="99"/>
        </w:rPr>
      </w:pPr>
    </w:p>
    <w:p w14:paraId="2F18FC51" w14:textId="1507BB0C" w:rsidR="00D346BA" w:rsidRPr="00823FED" w:rsidRDefault="00D346BA" w:rsidP="00D346BA">
      <w:pPr>
        <w:tabs>
          <w:tab w:val="left" w:pos="540"/>
        </w:tabs>
        <w:autoSpaceDE w:val="0"/>
        <w:autoSpaceDN w:val="0"/>
        <w:adjustRightInd w:val="0"/>
        <w:spacing w:after="0" w:line="240" w:lineRule="auto"/>
        <w:ind w:firstLine="270"/>
        <w:jc w:val="both"/>
        <w:rPr>
          <w:rFonts w:ascii="Cambria" w:hAnsi="Cambria" w:cstheme="minorHAnsi"/>
          <w:bCs/>
          <w:iCs/>
        </w:rPr>
      </w:pPr>
      <w:r w:rsidRPr="00823FED">
        <w:rPr>
          <w:rFonts w:ascii="Cambria" w:eastAsia="Times New Roman" w:hAnsi="Cambria" w:cstheme="minorHAnsi"/>
          <w:bCs/>
          <w:iCs/>
          <w:lang w:eastAsia="ar-SA"/>
        </w:rPr>
        <w:t xml:space="preserve">През 2021 г. продължиха усилията за постигане на основните цели на тази програма - да се изгради необходимата инфраструктура и материална среда, да продължи повишаването на квалификацията и обучението на консулски служители и да се изготвят съответните нормативни и административни </w:t>
      </w:r>
      <w:r w:rsidRPr="00823FED">
        <w:rPr>
          <w:rFonts w:ascii="Cambria" w:hAnsi="Cambria" w:cstheme="minorHAnsi"/>
          <w:bCs/>
          <w:iCs/>
        </w:rPr>
        <w:t>документи, които да съответстват на изискванията за присъединяване към Шенгенското пространство, което да позволи, след постигане на членство</w:t>
      </w:r>
      <w:r w:rsidR="002D1419">
        <w:rPr>
          <w:rFonts w:ascii="Cambria" w:hAnsi="Cambria" w:cstheme="minorHAnsi"/>
          <w:bCs/>
          <w:iCs/>
        </w:rPr>
        <w:t>,</w:t>
      </w:r>
      <w:r w:rsidRPr="00823FED">
        <w:rPr>
          <w:rFonts w:ascii="Cambria" w:hAnsi="Cambria" w:cstheme="minorHAnsi"/>
          <w:bCs/>
          <w:iCs/>
        </w:rPr>
        <w:t xml:space="preserve"> да се осигурят условия за ефективно прилагане на правото и практиката на Шенген</w:t>
      </w:r>
      <w:r w:rsidR="00B707A0" w:rsidRPr="00823FED">
        <w:rPr>
          <w:rFonts w:ascii="Cambria" w:hAnsi="Cambria" w:cstheme="minorHAnsi"/>
          <w:bCs/>
          <w:iCs/>
        </w:rPr>
        <w:t>.</w:t>
      </w:r>
      <w:r w:rsidRPr="00823FED">
        <w:rPr>
          <w:rFonts w:ascii="Cambria" w:hAnsi="Cambria" w:cstheme="minorHAnsi"/>
          <w:bCs/>
          <w:iCs/>
        </w:rPr>
        <w:t xml:space="preserve"> Подготвени бяха изменения в Закона за чужденците в Република България и в Закона за българските лични документи. </w:t>
      </w:r>
      <w:r w:rsidR="002D1419">
        <w:rPr>
          <w:rFonts w:ascii="Cambria" w:hAnsi="Cambria" w:cstheme="minorHAnsi"/>
          <w:bCs/>
          <w:iCs/>
        </w:rPr>
        <w:t xml:space="preserve"> </w:t>
      </w:r>
    </w:p>
    <w:p w14:paraId="6C947016" w14:textId="77777777" w:rsidR="00D346BA" w:rsidRPr="00823FED" w:rsidRDefault="00D346BA" w:rsidP="00D346BA">
      <w:pPr>
        <w:tabs>
          <w:tab w:val="left" w:pos="540"/>
        </w:tabs>
        <w:autoSpaceDE w:val="0"/>
        <w:autoSpaceDN w:val="0"/>
        <w:adjustRightInd w:val="0"/>
        <w:spacing w:after="0" w:line="240" w:lineRule="auto"/>
        <w:ind w:firstLine="270"/>
        <w:jc w:val="both"/>
        <w:rPr>
          <w:rFonts w:ascii="Cambria" w:hAnsi="Cambria" w:cstheme="minorHAnsi"/>
          <w:bCs/>
          <w:iCs/>
        </w:rPr>
      </w:pPr>
      <w:r w:rsidRPr="00823FED">
        <w:rPr>
          <w:rFonts w:ascii="Cambria" w:hAnsi="Cambria" w:cstheme="minorHAnsi"/>
          <w:bCs/>
          <w:iCs/>
        </w:rPr>
        <w:t xml:space="preserve">От 17.02.2021 г. стана достъпна </w:t>
      </w:r>
      <w:r w:rsidRPr="00823FED">
        <w:rPr>
          <w:rFonts w:ascii="Cambria" w:eastAsia="Times New Roman" w:hAnsi="Cambria" w:cstheme="minorHAnsi"/>
          <w:lang w:eastAsia="bg-BG"/>
        </w:rPr>
        <w:t>автоматизираната информационна система за   електронни услуги</w:t>
      </w:r>
      <w:r w:rsidRPr="00823FED">
        <w:rPr>
          <w:rFonts w:ascii="Cambria" w:hAnsi="Cambria" w:cstheme="minorHAnsi"/>
          <w:bCs/>
          <w:iCs/>
        </w:rPr>
        <w:t xml:space="preserve"> на МВнР, която дава възможност на българските граждани в чужбина да подновяват своите български лични документи по електронен път без необходимостта </w:t>
      </w:r>
      <w:r w:rsidRPr="00823FED">
        <w:rPr>
          <w:rFonts w:ascii="Cambria" w:hAnsi="Cambria" w:cstheme="minorHAnsi"/>
          <w:bCs/>
          <w:iCs/>
        </w:rPr>
        <w:lastRenderedPageBreak/>
        <w:t>да разполагат с квалифициран електронен подпис, както и възможността да заплатят за услугата изцяло по електронен път</w:t>
      </w:r>
      <w:r w:rsidR="00067F99" w:rsidRPr="00823FED">
        <w:rPr>
          <w:rFonts w:ascii="Cambria" w:hAnsi="Cambria" w:cstheme="minorHAnsi"/>
          <w:bCs/>
          <w:iCs/>
        </w:rPr>
        <w:t>.</w:t>
      </w:r>
    </w:p>
    <w:p w14:paraId="411C8C27" w14:textId="6ED5DD91" w:rsidR="007D68D0" w:rsidRPr="00823FED" w:rsidRDefault="007D68D0" w:rsidP="004E7C5E">
      <w:pPr>
        <w:tabs>
          <w:tab w:val="left" w:pos="540"/>
        </w:tabs>
        <w:autoSpaceDE w:val="0"/>
        <w:autoSpaceDN w:val="0"/>
        <w:adjustRightInd w:val="0"/>
        <w:spacing w:after="0" w:line="240" w:lineRule="auto"/>
        <w:jc w:val="both"/>
        <w:rPr>
          <w:rFonts w:ascii="Cambria" w:hAnsi="Cambria" w:cstheme="minorHAnsi"/>
        </w:rPr>
      </w:pPr>
    </w:p>
    <w:p w14:paraId="7F398589" w14:textId="12691B75" w:rsidR="00D905CC" w:rsidRPr="00823FED" w:rsidRDefault="00D346BA" w:rsidP="00716035">
      <w:pPr>
        <w:spacing w:after="0" w:line="240" w:lineRule="auto"/>
        <w:jc w:val="both"/>
        <w:rPr>
          <w:rFonts w:ascii="Cambria" w:hAnsi="Cambria" w:cstheme="minorHAnsi"/>
          <w:b/>
          <w:iCs/>
          <w:color w:val="548DD4" w:themeColor="text2" w:themeTint="99"/>
        </w:rPr>
      </w:pPr>
      <w:r w:rsidRPr="00823FED">
        <w:rPr>
          <w:rFonts w:ascii="Cambria" w:hAnsi="Cambria" w:cstheme="minorHAnsi"/>
          <w:b/>
          <w:iCs/>
          <w:color w:val="548DD4" w:themeColor="text2" w:themeTint="99"/>
        </w:rPr>
        <w:t>Защита на</w:t>
      </w:r>
      <w:r w:rsidR="004144B2">
        <w:rPr>
          <w:rFonts w:ascii="Cambria" w:hAnsi="Cambria" w:cstheme="minorHAnsi"/>
          <w:b/>
          <w:iCs/>
          <w:color w:val="548DD4" w:themeColor="text2" w:themeTint="99"/>
        </w:rPr>
        <w:t xml:space="preserve"> правата и интересите на</w:t>
      </w:r>
      <w:r w:rsidRPr="00823FED">
        <w:rPr>
          <w:rFonts w:ascii="Cambria" w:hAnsi="Cambria" w:cstheme="minorHAnsi"/>
          <w:b/>
          <w:iCs/>
          <w:color w:val="548DD4" w:themeColor="text2" w:themeTint="99"/>
        </w:rPr>
        <w:t xml:space="preserve"> български физически и юридически лица и български</w:t>
      </w:r>
      <w:r w:rsidR="004144B2">
        <w:rPr>
          <w:rFonts w:ascii="Cambria" w:hAnsi="Cambria" w:cstheme="minorHAnsi"/>
          <w:b/>
          <w:iCs/>
          <w:color w:val="548DD4" w:themeColor="text2" w:themeTint="99"/>
        </w:rPr>
        <w:t>те</w:t>
      </w:r>
      <w:r w:rsidRPr="00823FED">
        <w:rPr>
          <w:rFonts w:ascii="Cambria" w:hAnsi="Cambria" w:cstheme="minorHAnsi"/>
          <w:b/>
          <w:iCs/>
          <w:color w:val="548DD4" w:themeColor="text2" w:themeTint="99"/>
        </w:rPr>
        <w:t xml:space="preserve"> общности зад граница</w:t>
      </w:r>
    </w:p>
    <w:p w14:paraId="5CC4E303" w14:textId="57E24C12" w:rsidR="00D346BA" w:rsidRPr="00823FED" w:rsidRDefault="00067F99" w:rsidP="00067F99">
      <w:pPr>
        <w:spacing w:after="0" w:line="240" w:lineRule="auto"/>
        <w:ind w:firstLine="284"/>
        <w:jc w:val="both"/>
        <w:rPr>
          <w:rFonts w:ascii="Cambria" w:hAnsi="Cambria" w:cstheme="minorHAnsi"/>
          <w:bCs/>
          <w:iCs/>
        </w:rPr>
      </w:pPr>
      <w:r w:rsidRPr="00823FED">
        <w:rPr>
          <w:rFonts w:ascii="Cambria" w:hAnsi="Cambria" w:cstheme="minorHAnsi"/>
          <w:bCs/>
          <w:iCs/>
        </w:rPr>
        <w:t xml:space="preserve">Продължи работата на консулските длъжностни лица и служителите </w:t>
      </w:r>
      <w:r w:rsidR="00413717">
        <w:rPr>
          <w:rFonts w:ascii="Cambria" w:hAnsi="Cambria" w:cstheme="minorHAnsi"/>
          <w:bCs/>
          <w:iCs/>
        </w:rPr>
        <w:t xml:space="preserve">на МВнР </w:t>
      </w:r>
      <w:r w:rsidRPr="00823FED">
        <w:rPr>
          <w:rFonts w:ascii="Cambria" w:hAnsi="Cambria" w:cstheme="minorHAnsi"/>
          <w:bCs/>
          <w:iCs/>
        </w:rPr>
        <w:t>за защита правата на българските граждани, задържани в различни места за лишаване от свобода на територията на държавите на акредитация, изразяваща се в съдействие за изясняване на причините за арест, местонахождение на задържаните, назначаване при нужда на служебни адвокати и преводачи, спазване на основните им човешки права, осигуряване на адекватно на здравословното им състояние и условията медицинско обслужване, проява на същото отношение към тях, както към гражданите на приемащата страна, намиращи се в същите затвори и изправителни заведения, предаване на кореспонденция между задържаните и близките им, предоставяне на информация за хода на образуваните производства и съдебни дела и др.</w:t>
      </w:r>
    </w:p>
    <w:p w14:paraId="0845C8E1" w14:textId="77777777" w:rsidR="00067F99" w:rsidRPr="00823FED" w:rsidRDefault="00067F99" w:rsidP="00067F99">
      <w:pPr>
        <w:spacing w:after="0" w:line="240" w:lineRule="auto"/>
        <w:ind w:firstLine="284"/>
        <w:jc w:val="both"/>
        <w:rPr>
          <w:rFonts w:ascii="Cambria" w:hAnsi="Cambria" w:cstheme="minorHAnsi"/>
          <w:bCs/>
          <w:iCs/>
        </w:rPr>
      </w:pPr>
      <w:r w:rsidRPr="00823FED">
        <w:rPr>
          <w:rFonts w:ascii="Cambria" w:hAnsi="Cambria" w:cstheme="minorHAnsi"/>
          <w:bCs/>
          <w:iCs/>
        </w:rPr>
        <w:t>МВнР, съвместно със задграничните представителства, продължи да оказва съдействие на българските граждани, гражданите на ЕС и граждани на трети страни за пътуването до и през България, респ. до държавите им по произход, в условията на рестрикциите, свързани с COVID-19.</w:t>
      </w:r>
    </w:p>
    <w:p w14:paraId="78380A98" w14:textId="77777777" w:rsidR="00067F99" w:rsidRPr="00823FED" w:rsidRDefault="00067F99" w:rsidP="00716035">
      <w:pPr>
        <w:spacing w:after="0" w:line="240" w:lineRule="auto"/>
        <w:jc w:val="both"/>
        <w:rPr>
          <w:rFonts w:ascii="Cambria" w:hAnsi="Cambria" w:cstheme="minorHAnsi"/>
          <w:b/>
          <w:iCs/>
          <w:color w:val="548DD4" w:themeColor="text2" w:themeTint="99"/>
        </w:rPr>
      </w:pPr>
    </w:p>
    <w:p w14:paraId="18FB6587" w14:textId="77777777" w:rsidR="00D346BA" w:rsidRPr="00823FED" w:rsidRDefault="00D346BA" w:rsidP="00716035">
      <w:pPr>
        <w:spacing w:after="0" w:line="240" w:lineRule="auto"/>
        <w:jc w:val="both"/>
        <w:rPr>
          <w:rFonts w:ascii="Cambria" w:hAnsi="Cambria" w:cstheme="minorHAnsi"/>
          <w:b/>
          <w:iCs/>
          <w:color w:val="548DD4" w:themeColor="text2" w:themeTint="99"/>
        </w:rPr>
      </w:pPr>
      <w:r w:rsidRPr="00823FED">
        <w:rPr>
          <w:rFonts w:ascii="Cambria" w:hAnsi="Cambria" w:cstheme="minorHAnsi"/>
          <w:b/>
          <w:iCs/>
          <w:color w:val="548DD4" w:themeColor="text2" w:themeTint="99"/>
        </w:rPr>
        <w:t>Защита на България пред Съда на ЕС и Общия съд на ЕС</w:t>
      </w:r>
    </w:p>
    <w:p w14:paraId="7F72ACB4" w14:textId="145E26B2" w:rsidR="00067F99" w:rsidRPr="00823FED" w:rsidRDefault="00E405FC" w:rsidP="00067F99">
      <w:pPr>
        <w:spacing w:after="0" w:line="240" w:lineRule="auto"/>
        <w:ind w:firstLine="284"/>
        <w:jc w:val="both"/>
        <w:rPr>
          <w:rFonts w:ascii="Cambria" w:hAnsi="Cambria" w:cstheme="minorHAnsi"/>
        </w:rPr>
      </w:pPr>
      <w:r>
        <w:rPr>
          <w:rFonts w:ascii="Cambria" w:hAnsi="Cambria" w:cstheme="minorHAnsi"/>
        </w:rPr>
        <w:t xml:space="preserve">През изминалата година </w:t>
      </w:r>
      <w:r w:rsidRPr="00E405FC">
        <w:rPr>
          <w:rFonts w:ascii="Cambria" w:hAnsi="Cambria" w:cstheme="minorHAnsi"/>
        </w:rPr>
        <w:t>в МВнР се работи по пет дела, заведени от България пред Съда на ЕС, по две дела срещу българската държава, както и по над 15 преюдициални запитвания, отправени както от български, така и от чуждестранни юрисдикции пред Съда</w:t>
      </w:r>
      <w:r w:rsidR="00067F99" w:rsidRPr="00823FED">
        <w:rPr>
          <w:rFonts w:ascii="Cambria" w:hAnsi="Cambria" w:cstheme="minorHAnsi"/>
        </w:rPr>
        <w:t>.</w:t>
      </w:r>
    </w:p>
    <w:p w14:paraId="6D586C39" w14:textId="77777777" w:rsidR="00067F99" w:rsidRPr="00823FED" w:rsidRDefault="00067F99" w:rsidP="00067F99">
      <w:pPr>
        <w:spacing w:after="0" w:line="240" w:lineRule="auto"/>
        <w:ind w:firstLine="284"/>
        <w:jc w:val="both"/>
        <w:rPr>
          <w:rFonts w:ascii="Cambria" w:hAnsi="Cambria" w:cstheme="minorHAnsi"/>
        </w:rPr>
      </w:pPr>
      <w:r w:rsidRPr="00823FED">
        <w:rPr>
          <w:rFonts w:ascii="Cambria" w:hAnsi="Cambria" w:cstheme="minorHAnsi"/>
        </w:rPr>
        <w:t>България подаде жалба пред Общия съд на ЕС за отмяна на Решение за изпълнение (ЕС) 2021/261 на Комисията от 17 февруари 2021 година за изключване от финансиране от страна на Европейския съюз на някои разходи, направени от държавите членки по линия на Европейския фонд за гарантиране на земеделието (ЕФГЗ) и на Европейския земеделски фонд за развитие на селските райони.</w:t>
      </w:r>
    </w:p>
    <w:p w14:paraId="743CCA34" w14:textId="77777777" w:rsidR="00067F99" w:rsidRPr="00823FED" w:rsidRDefault="00067F99" w:rsidP="00067F99">
      <w:pPr>
        <w:spacing w:after="0" w:line="240" w:lineRule="auto"/>
        <w:ind w:firstLine="284"/>
        <w:jc w:val="both"/>
        <w:rPr>
          <w:rFonts w:ascii="Cambria" w:hAnsi="Cambria" w:cstheme="minorHAnsi"/>
        </w:rPr>
      </w:pPr>
      <w:r w:rsidRPr="00823FED">
        <w:rPr>
          <w:rFonts w:ascii="Cambria" w:hAnsi="Cambria" w:cstheme="minorHAnsi"/>
        </w:rPr>
        <w:t>През посочения период продължи работата по заведените от Република България три дела относно отмяната, частично или в цялост, на три законодателни акта от т.нар. Пакет за Мобилност I.</w:t>
      </w:r>
    </w:p>
    <w:p w14:paraId="5B2624B3" w14:textId="77777777" w:rsidR="005F5D96" w:rsidRPr="00823FED" w:rsidRDefault="005F5D96" w:rsidP="00716035">
      <w:pPr>
        <w:spacing w:after="0" w:line="240" w:lineRule="auto"/>
        <w:jc w:val="both"/>
        <w:rPr>
          <w:rFonts w:ascii="Cambria" w:hAnsi="Cambria" w:cstheme="minorHAnsi"/>
          <w:b/>
          <w:iCs/>
          <w:color w:val="548DD4" w:themeColor="text2" w:themeTint="99"/>
        </w:rPr>
      </w:pPr>
    </w:p>
    <w:p w14:paraId="615AD1F3" w14:textId="77777777" w:rsidR="00D346BA" w:rsidRPr="00823FED" w:rsidRDefault="00D346BA" w:rsidP="00716035">
      <w:pPr>
        <w:spacing w:after="0" w:line="240" w:lineRule="auto"/>
        <w:jc w:val="both"/>
        <w:rPr>
          <w:rFonts w:ascii="Cambria" w:hAnsi="Cambria" w:cstheme="minorHAnsi"/>
          <w:b/>
          <w:iCs/>
          <w:color w:val="548DD4" w:themeColor="text2" w:themeTint="99"/>
        </w:rPr>
      </w:pPr>
      <w:r w:rsidRPr="00823FED">
        <w:rPr>
          <w:rFonts w:ascii="Cambria" w:hAnsi="Cambria" w:cstheme="minorHAnsi"/>
          <w:b/>
          <w:iCs/>
          <w:color w:val="548DD4" w:themeColor="text2" w:themeTint="99"/>
        </w:rPr>
        <w:t>Управление на българската помощ за развитие</w:t>
      </w:r>
    </w:p>
    <w:p w14:paraId="252A63DC" w14:textId="4BC6DD2D" w:rsidR="0053641E" w:rsidRDefault="00BC0ED1" w:rsidP="00BC0ED1">
      <w:pPr>
        <w:spacing w:after="0" w:line="240" w:lineRule="auto"/>
        <w:ind w:firstLine="360"/>
        <w:jc w:val="both"/>
        <w:rPr>
          <w:rFonts w:ascii="Cambria" w:hAnsi="Cambria" w:cstheme="minorHAnsi"/>
        </w:rPr>
      </w:pPr>
      <w:r w:rsidRPr="00BC0ED1">
        <w:rPr>
          <w:rFonts w:ascii="Cambria" w:hAnsi="Cambria" w:cstheme="minorHAnsi"/>
        </w:rPr>
        <w:t>Със Закона за държавния бюджет на Р България за 2021 г. за Програма „Международно сътрудничество за развитие и хуманитарни въпроси“ са утвърдени 6 мл. лева. В изпълнение на ПМС 113/29.03.2021 г., 5% от средствата, заложени по Програмата, бяха предоставени на Министерство на здравеопазването за финансиране на мерките и действията по време на извънредната епидемична обстановка поради разпространението на COVID-19. След направената бюджетна корекция, наличните средства по Програмата за 2021 г. са в размер на 5,7 млн. лева, които са изцяло изразходвани.</w:t>
      </w:r>
    </w:p>
    <w:p w14:paraId="271FE10A" w14:textId="77777777" w:rsidR="00BC0ED1" w:rsidRPr="00823FED" w:rsidRDefault="00BC0ED1" w:rsidP="00BC0ED1">
      <w:pPr>
        <w:spacing w:after="0" w:line="240" w:lineRule="auto"/>
        <w:ind w:firstLine="360"/>
        <w:jc w:val="both"/>
        <w:rPr>
          <w:rFonts w:ascii="Cambria" w:hAnsi="Cambria" w:cstheme="minorHAnsi"/>
          <w:b/>
          <w:iCs/>
          <w:color w:val="548DD4" w:themeColor="text2" w:themeTint="99"/>
        </w:rPr>
      </w:pPr>
    </w:p>
    <w:p w14:paraId="6645A5EB" w14:textId="77777777" w:rsidR="00D346BA" w:rsidRPr="00823FED" w:rsidRDefault="00D346BA" w:rsidP="00716035">
      <w:pPr>
        <w:spacing w:after="0" w:line="240" w:lineRule="auto"/>
        <w:jc w:val="both"/>
        <w:rPr>
          <w:rFonts w:ascii="Cambria" w:hAnsi="Cambria" w:cstheme="minorHAnsi"/>
          <w:b/>
          <w:iCs/>
          <w:color w:val="548DD4" w:themeColor="text2" w:themeTint="99"/>
        </w:rPr>
      </w:pPr>
      <w:r w:rsidRPr="00823FED">
        <w:rPr>
          <w:rFonts w:ascii="Cambria" w:hAnsi="Cambria" w:cstheme="minorHAnsi"/>
          <w:b/>
          <w:iCs/>
          <w:color w:val="548DD4" w:themeColor="text2" w:themeTint="99"/>
        </w:rPr>
        <w:t>Изпълнение на националните цели и приоритети, чрез участието на България във формирането на политики на ЕС и НАТО</w:t>
      </w:r>
    </w:p>
    <w:p w14:paraId="4A85BD0E" w14:textId="77777777" w:rsidR="00917D2B" w:rsidRDefault="00917D2B" w:rsidP="00C73B24">
      <w:pPr>
        <w:spacing w:after="0" w:line="240" w:lineRule="auto"/>
        <w:ind w:firstLine="426"/>
        <w:jc w:val="both"/>
        <w:rPr>
          <w:rFonts w:ascii="Cambria" w:hAnsi="Cambria" w:cstheme="minorHAnsi"/>
        </w:rPr>
      </w:pPr>
      <w:r w:rsidRPr="00917D2B">
        <w:rPr>
          <w:rFonts w:ascii="Cambria" w:hAnsi="Cambria" w:cstheme="minorHAnsi"/>
        </w:rPr>
        <w:t>Основните усилия през отчетния период бяха насочени към осигуряване на активното участие на България в процесите на формиране и прилагане на Общата външна политика и политика на сигурност на ЕС и Общата политика на сигурност и отбрана на ЕС в условията на пандемията от COVID-19. В съответствие с планираните финансови ресурси, заложените за отчетния период цели бяха постигнати в голямата си част, като българските позиции и действия се основаваха на принципите на приемственост, последователност, отчитане на националните интереси и изпълнение на поетите от страната ни международни ангажименти.</w:t>
      </w:r>
    </w:p>
    <w:p w14:paraId="797DD11F" w14:textId="2E284BDB" w:rsidR="0053641E" w:rsidRPr="00BC0ED1" w:rsidRDefault="00BC0ED1" w:rsidP="00BC0ED1">
      <w:pPr>
        <w:spacing w:after="0" w:line="240" w:lineRule="auto"/>
        <w:ind w:firstLine="426"/>
        <w:jc w:val="both"/>
        <w:rPr>
          <w:rFonts w:ascii="Cambria" w:hAnsi="Cambria" w:cstheme="minorHAnsi"/>
          <w:bCs/>
        </w:rPr>
      </w:pPr>
      <w:r w:rsidRPr="00BC0ED1">
        <w:rPr>
          <w:rFonts w:ascii="Cambria" w:hAnsi="Cambria" w:cstheme="minorHAnsi"/>
          <w:bCs/>
        </w:rPr>
        <w:t>Активното участие на България в процесите и актуалния дневния ред на НАТО бе сред водещите направления в дейността на ведомството. Министерството на външните работи, със съдействието на Министерството на отбраната, подготви българското участие в срещата на върха (на 14 април), срещите на министрите на външните работи и оказа съдействие за подготовката на срещите на министрите на отбраната.</w:t>
      </w:r>
      <w:r>
        <w:rPr>
          <w:rFonts w:ascii="Cambria" w:hAnsi="Cambria" w:cstheme="minorHAnsi"/>
          <w:bCs/>
        </w:rPr>
        <w:t xml:space="preserve"> </w:t>
      </w:r>
    </w:p>
    <w:p w14:paraId="6BA2800E" w14:textId="77777777" w:rsidR="00BC0ED1" w:rsidRDefault="00BC0ED1" w:rsidP="00716035">
      <w:pPr>
        <w:spacing w:after="0" w:line="240" w:lineRule="auto"/>
        <w:jc w:val="both"/>
        <w:rPr>
          <w:rFonts w:ascii="Cambria" w:hAnsi="Cambria" w:cstheme="minorHAnsi"/>
          <w:b/>
          <w:iCs/>
          <w:color w:val="548DD4" w:themeColor="text2" w:themeTint="99"/>
        </w:rPr>
      </w:pPr>
    </w:p>
    <w:p w14:paraId="6ACC7863" w14:textId="335C0116" w:rsidR="00D346BA" w:rsidRPr="00823FED" w:rsidRDefault="00D346BA" w:rsidP="00716035">
      <w:pPr>
        <w:spacing w:after="0" w:line="240" w:lineRule="auto"/>
        <w:jc w:val="both"/>
        <w:rPr>
          <w:rFonts w:ascii="Cambria" w:hAnsi="Cambria" w:cstheme="minorHAnsi"/>
          <w:b/>
          <w:iCs/>
          <w:color w:val="548DD4" w:themeColor="text2" w:themeTint="99"/>
        </w:rPr>
      </w:pPr>
      <w:r w:rsidRPr="00823FED">
        <w:rPr>
          <w:rFonts w:ascii="Cambria" w:hAnsi="Cambria" w:cstheme="minorHAnsi"/>
          <w:b/>
          <w:iCs/>
          <w:color w:val="548DD4" w:themeColor="text2" w:themeTint="99"/>
        </w:rPr>
        <w:t>Ефективно изпълнение на националните цели и приоритети на Република България в Европейския съюз посредством координирана и последователна политика</w:t>
      </w:r>
    </w:p>
    <w:p w14:paraId="7D3A531F" w14:textId="61B584AA" w:rsidR="005E5099" w:rsidRDefault="00917D2B" w:rsidP="00917D2B">
      <w:pPr>
        <w:spacing w:after="0" w:line="240" w:lineRule="auto"/>
        <w:ind w:firstLine="284"/>
        <w:jc w:val="both"/>
        <w:rPr>
          <w:rFonts w:ascii="Cambria" w:hAnsi="Cambria" w:cstheme="minorHAnsi"/>
        </w:rPr>
      </w:pPr>
      <w:r w:rsidRPr="00917D2B">
        <w:rPr>
          <w:rFonts w:ascii="Cambria" w:hAnsi="Cambria" w:cstheme="minorHAnsi"/>
        </w:rPr>
        <w:t>През отчетния период, МВнР последователно отстоява националните приоритети в разработването и реализирането на политиките на ЕС по ключови теми като: разширяването на ЕС, миграцията, върховенството на правото, отношения между Европейския съюз и Обединеното кралство и др. Кризата, породена от пандемията от пандемията от COVID-19, продължи да оказва влияние върху работата на Министерството както по отделните досиета в рамките на ЕС, така и в контекста на общите усилия на ЕС за преодоляване на кризата в различните ѝ измерения – здравно, социално и икономическо. В своята работа Министерството на външните работи се ръководи от принципите на солидарност и недопускане задълбочаване на различията и създаване на нови разделения в ЕС. Основен приоритет за страната ни бе това ЕС да остане единен и да излезе от кризата по-силен и по-подготвен.</w:t>
      </w:r>
    </w:p>
    <w:p w14:paraId="0BAF47D3" w14:textId="77777777" w:rsidR="00917D2B" w:rsidRPr="00823FED" w:rsidRDefault="00917D2B" w:rsidP="00917D2B">
      <w:pPr>
        <w:spacing w:after="0" w:line="240" w:lineRule="auto"/>
        <w:ind w:firstLine="284"/>
        <w:jc w:val="both"/>
        <w:rPr>
          <w:rFonts w:ascii="Cambria" w:hAnsi="Cambria" w:cstheme="minorHAnsi"/>
          <w:b/>
          <w:iCs/>
          <w:color w:val="548DD4" w:themeColor="text2" w:themeTint="99"/>
        </w:rPr>
      </w:pPr>
    </w:p>
    <w:p w14:paraId="4193B889" w14:textId="77777777" w:rsidR="00D346BA" w:rsidRPr="00823FED" w:rsidRDefault="00D346BA" w:rsidP="00716035">
      <w:pPr>
        <w:spacing w:after="0" w:line="240" w:lineRule="auto"/>
        <w:jc w:val="both"/>
        <w:rPr>
          <w:rFonts w:ascii="Cambria" w:hAnsi="Cambria" w:cstheme="minorHAnsi"/>
          <w:b/>
          <w:iCs/>
          <w:color w:val="548DD4" w:themeColor="text2" w:themeTint="99"/>
        </w:rPr>
      </w:pPr>
      <w:r w:rsidRPr="00823FED">
        <w:rPr>
          <w:rFonts w:ascii="Cambria" w:hAnsi="Cambria" w:cstheme="minorHAnsi"/>
          <w:b/>
          <w:iCs/>
          <w:color w:val="548DD4" w:themeColor="text2" w:themeTint="99"/>
        </w:rPr>
        <w:t>Участие в Съвета на ЕС и неговите подготвителни органи</w:t>
      </w:r>
    </w:p>
    <w:p w14:paraId="5B1B2560" w14:textId="6B1270A4" w:rsidR="00B01AFD" w:rsidRPr="00823FED" w:rsidRDefault="009E05DB" w:rsidP="009E05DB">
      <w:pPr>
        <w:spacing w:after="0" w:line="240" w:lineRule="auto"/>
        <w:ind w:firstLine="284"/>
        <w:jc w:val="both"/>
        <w:rPr>
          <w:rFonts w:ascii="Cambria" w:hAnsi="Cambria" w:cstheme="minorHAnsi"/>
        </w:rPr>
      </w:pPr>
      <w:r w:rsidRPr="00823FED">
        <w:rPr>
          <w:rFonts w:ascii="Cambria" w:hAnsi="Cambria" w:cstheme="minorHAnsi"/>
        </w:rPr>
        <w:t>През отчетния период бе осигурена подготовката на българското участие в редовните и извънредни заседания на Съвет „Външни работи“</w:t>
      </w:r>
      <w:r w:rsidRPr="00823FED">
        <w:rPr>
          <w:rFonts w:ascii="Cambria" w:hAnsi="Cambria" w:cstheme="minorHAnsi"/>
          <w:lang w:eastAsia="x-none"/>
        </w:rPr>
        <w:t xml:space="preserve"> (</w:t>
      </w:r>
      <w:r w:rsidRPr="00823FED">
        <w:rPr>
          <w:rFonts w:ascii="Cambria" w:hAnsi="Cambria" w:cstheme="minorHAnsi"/>
        </w:rPr>
        <w:t>25 януари, 22 февруари, 22 март, 10 май, 21 юни</w:t>
      </w:r>
      <w:r w:rsidR="00E405FC">
        <w:rPr>
          <w:rFonts w:ascii="Cambria" w:hAnsi="Cambria" w:cstheme="minorHAnsi"/>
        </w:rPr>
        <w:t xml:space="preserve">, </w:t>
      </w:r>
      <w:r w:rsidR="00E405FC" w:rsidRPr="00E405FC">
        <w:rPr>
          <w:rFonts w:ascii="Cambria" w:hAnsi="Cambria" w:cstheme="minorHAnsi"/>
        </w:rPr>
        <w:t>12 юли, 18 октомври, 15 ноември, 13 декември</w:t>
      </w:r>
      <w:r w:rsidRPr="00823FED">
        <w:rPr>
          <w:rFonts w:ascii="Cambria" w:hAnsi="Cambria" w:cstheme="minorHAnsi"/>
        </w:rPr>
        <w:t>), както и на неформалн</w:t>
      </w:r>
      <w:r w:rsidR="001E722E">
        <w:rPr>
          <w:rFonts w:ascii="Cambria" w:hAnsi="Cambria" w:cstheme="minorHAnsi"/>
        </w:rPr>
        <w:t>и</w:t>
      </w:r>
      <w:r w:rsidRPr="00823FED">
        <w:rPr>
          <w:rFonts w:ascii="Cambria" w:hAnsi="Cambria" w:cstheme="minorHAnsi"/>
        </w:rPr>
        <w:t>т</w:t>
      </w:r>
      <w:r w:rsidR="001E722E">
        <w:rPr>
          <w:rFonts w:ascii="Cambria" w:hAnsi="Cambria" w:cstheme="minorHAnsi"/>
        </w:rPr>
        <w:t>е</w:t>
      </w:r>
      <w:r w:rsidRPr="00823FED">
        <w:rPr>
          <w:rFonts w:ascii="Cambria" w:hAnsi="Cambria" w:cstheme="minorHAnsi"/>
        </w:rPr>
        <w:t xml:space="preserve"> срещ</w:t>
      </w:r>
      <w:r w:rsidR="001E722E">
        <w:rPr>
          <w:rFonts w:ascii="Cambria" w:hAnsi="Cambria" w:cstheme="minorHAnsi"/>
        </w:rPr>
        <w:t>и</w:t>
      </w:r>
      <w:r w:rsidRPr="00823FED">
        <w:rPr>
          <w:rFonts w:ascii="Cambria" w:hAnsi="Cambria" w:cstheme="minorHAnsi"/>
        </w:rPr>
        <w:t xml:space="preserve"> на министрите на външните работи „Гимних“</w:t>
      </w:r>
      <w:r w:rsidRPr="00823FED">
        <w:rPr>
          <w:rFonts w:ascii="Cambria" w:hAnsi="Cambria" w:cstheme="minorHAnsi"/>
          <w:lang w:eastAsia="x-none"/>
        </w:rPr>
        <w:t xml:space="preserve"> (</w:t>
      </w:r>
      <w:r w:rsidRPr="00823FED">
        <w:rPr>
          <w:rFonts w:ascii="Cambria" w:hAnsi="Cambria" w:cstheme="minorHAnsi"/>
        </w:rPr>
        <w:t>26-27 май, Лисабон</w:t>
      </w:r>
      <w:r w:rsidR="001E722E">
        <w:rPr>
          <w:rFonts w:ascii="Cambria" w:hAnsi="Cambria" w:cstheme="minorHAnsi"/>
        </w:rPr>
        <w:t xml:space="preserve">, </w:t>
      </w:r>
      <w:r w:rsidR="001E722E" w:rsidRPr="001E722E">
        <w:rPr>
          <w:rFonts w:ascii="Cambria" w:hAnsi="Cambria" w:cstheme="minorHAnsi"/>
        </w:rPr>
        <w:t>2-3 септември</w:t>
      </w:r>
      <w:r w:rsidR="001E722E">
        <w:rPr>
          <w:rFonts w:ascii="Cambria" w:hAnsi="Cambria" w:cstheme="minorHAnsi"/>
        </w:rPr>
        <w:t>,</w:t>
      </w:r>
      <w:r w:rsidR="001E722E" w:rsidRPr="001E722E">
        <w:rPr>
          <w:rFonts w:ascii="Cambria" w:hAnsi="Cambria" w:cstheme="minorHAnsi"/>
        </w:rPr>
        <w:t xml:space="preserve"> Кран</w:t>
      </w:r>
      <w:r w:rsidRPr="00823FED">
        <w:rPr>
          <w:rFonts w:ascii="Cambria" w:hAnsi="Cambria" w:cstheme="minorHAnsi"/>
        </w:rPr>
        <w:t xml:space="preserve">). </w:t>
      </w:r>
      <w:r w:rsidR="00B01AFD" w:rsidRPr="00823FED">
        <w:rPr>
          <w:rFonts w:ascii="Cambria" w:hAnsi="Cambria" w:cstheme="minorHAnsi"/>
        </w:rPr>
        <w:t xml:space="preserve">През </w:t>
      </w:r>
      <w:r w:rsidR="001E722E">
        <w:rPr>
          <w:rFonts w:ascii="Cambria" w:hAnsi="Cambria" w:cstheme="minorHAnsi"/>
        </w:rPr>
        <w:t xml:space="preserve">2021 г. бяха подготвени </w:t>
      </w:r>
      <w:r w:rsidR="001E722E" w:rsidRPr="001E722E">
        <w:rPr>
          <w:rFonts w:ascii="Cambria" w:hAnsi="Cambria" w:cstheme="minorHAnsi"/>
        </w:rPr>
        <w:t>неформалните видеоконферентни заседания на министрите по европейски въпроси на 18 януари, 23 февруари, 23 март, 20 април, 22-23 юли</w:t>
      </w:r>
      <w:r w:rsidR="00B01AFD" w:rsidRPr="00823FED">
        <w:rPr>
          <w:rFonts w:ascii="Cambria" w:hAnsi="Cambria" w:cstheme="minorHAnsi"/>
        </w:rPr>
        <w:t xml:space="preserve"> и редовните заседания на Съвет „Общи въпроси“ (СОВ) на </w:t>
      </w:r>
      <w:r w:rsidR="001E722E" w:rsidRPr="001E722E">
        <w:rPr>
          <w:rFonts w:ascii="Cambria" w:hAnsi="Cambria" w:cstheme="minorHAnsi"/>
        </w:rPr>
        <w:t>11 май, 22 юни, 21 септември, 19 октомври, 23 ноември и 14 декември</w:t>
      </w:r>
      <w:r w:rsidR="00B01AFD" w:rsidRPr="00823FED">
        <w:rPr>
          <w:rFonts w:ascii="Cambria" w:hAnsi="Cambria" w:cstheme="minorHAnsi"/>
        </w:rPr>
        <w:t xml:space="preserve">. </w:t>
      </w:r>
      <w:r w:rsidR="00BC0ED1">
        <w:rPr>
          <w:rFonts w:ascii="Cambria" w:hAnsi="Cambria" w:cstheme="minorHAnsi"/>
        </w:rPr>
        <w:t>Осигурено бе и участието на страната в работата на подготвителните органи към Съвета.</w:t>
      </w:r>
    </w:p>
    <w:p w14:paraId="3B75CA43" w14:textId="77777777" w:rsidR="0053641E" w:rsidRPr="00823FED" w:rsidRDefault="0053641E" w:rsidP="00716035">
      <w:pPr>
        <w:spacing w:after="0" w:line="240" w:lineRule="auto"/>
        <w:jc w:val="both"/>
        <w:rPr>
          <w:rFonts w:ascii="Cambria" w:hAnsi="Cambria" w:cstheme="minorHAnsi"/>
          <w:b/>
          <w:iCs/>
          <w:color w:val="548DD4" w:themeColor="text2" w:themeTint="99"/>
        </w:rPr>
      </w:pPr>
    </w:p>
    <w:p w14:paraId="30DD45E1" w14:textId="77777777" w:rsidR="00D346BA" w:rsidRPr="00823FED" w:rsidRDefault="00D346BA" w:rsidP="00D346BA">
      <w:pPr>
        <w:spacing w:after="0" w:line="240" w:lineRule="auto"/>
        <w:jc w:val="both"/>
        <w:rPr>
          <w:rFonts w:ascii="Cambria" w:hAnsi="Cambria" w:cstheme="minorHAnsi"/>
          <w:b/>
          <w:iCs/>
          <w:color w:val="548DD4" w:themeColor="text2" w:themeTint="99"/>
        </w:rPr>
      </w:pPr>
      <w:r w:rsidRPr="00823FED">
        <w:rPr>
          <w:rFonts w:ascii="Cambria" w:hAnsi="Cambria" w:cstheme="minorHAnsi"/>
          <w:b/>
          <w:iCs/>
          <w:color w:val="548DD4" w:themeColor="text2" w:themeTint="99"/>
        </w:rPr>
        <w:t>Изпълнение на националните цели и приоритети, чрез участието на България във формирането на политики на ООН</w:t>
      </w:r>
    </w:p>
    <w:p w14:paraId="1998F56E" w14:textId="58DC9F86" w:rsidR="009E05DB" w:rsidRPr="001E722E" w:rsidRDefault="00324A71" w:rsidP="001E722E">
      <w:pPr>
        <w:spacing w:after="0" w:line="240" w:lineRule="auto"/>
        <w:ind w:firstLine="284"/>
        <w:jc w:val="both"/>
        <w:rPr>
          <w:rFonts w:ascii="Cambria" w:hAnsi="Cambria" w:cstheme="minorHAnsi"/>
        </w:rPr>
      </w:pPr>
      <w:r w:rsidRPr="00324A71">
        <w:rPr>
          <w:rFonts w:ascii="Cambria" w:hAnsi="Cambria" w:cstheme="minorHAnsi"/>
        </w:rPr>
        <w:t xml:space="preserve">Съвместно с българските постоянни представителства към ООН в Ню Йорк, Женева и Виена, МВнР съдейства за защита на националните интереси при участието на Република България в работата на ООН и при изготвянето на общи позиции на ЕС по </w:t>
      </w:r>
      <w:r>
        <w:rPr>
          <w:rFonts w:ascii="Cambria" w:hAnsi="Cambria" w:cstheme="minorHAnsi"/>
        </w:rPr>
        <w:t xml:space="preserve">теми </w:t>
      </w:r>
      <w:r w:rsidRPr="00324A71">
        <w:rPr>
          <w:rFonts w:ascii="Cambria" w:hAnsi="Cambria" w:cstheme="minorHAnsi"/>
        </w:rPr>
        <w:t>на ООН чрез провеждане на двустранни и многостранни срещи по актуални въпроси от дневния ред на Световната организация.</w:t>
      </w:r>
      <w:r w:rsidR="001E722E" w:rsidRPr="001E722E">
        <w:t xml:space="preserve"> </w:t>
      </w:r>
      <w:r w:rsidR="001E722E" w:rsidRPr="001E722E">
        <w:rPr>
          <w:rFonts w:ascii="Cambria" w:hAnsi="Cambria" w:cstheme="minorHAnsi"/>
        </w:rPr>
        <w:t>През есента на м.г. бяха осъществени дейности по координиране участието в смесен формат на българската делегация, ръководена от президента Румен Радев, в седмицата на Общия дебат на 76-ата редовна годишна сесия на ОС на ООН.</w:t>
      </w:r>
    </w:p>
    <w:p w14:paraId="1C0C49B1" w14:textId="77777777" w:rsidR="009E05DB" w:rsidRPr="00823FED" w:rsidRDefault="009E05DB" w:rsidP="00D346BA">
      <w:pPr>
        <w:spacing w:after="0" w:line="240" w:lineRule="auto"/>
        <w:jc w:val="both"/>
        <w:rPr>
          <w:rFonts w:ascii="Cambria" w:hAnsi="Cambria" w:cstheme="minorHAnsi"/>
          <w:b/>
          <w:iCs/>
          <w:color w:val="548DD4" w:themeColor="text2" w:themeTint="99"/>
        </w:rPr>
      </w:pPr>
    </w:p>
    <w:p w14:paraId="1E73BEC7" w14:textId="77777777" w:rsidR="00D346BA" w:rsidRPr="00823FED" w:rsidRDefault="00D346BA" w:rsidP="00D346BA">
      <w:pPr>
        <w:spacing w:after="0" w:line="240" w:lineRule="auto"/>
        <w:jc w:val="both"/>
        <w:rPr>
          <w:rFonts w:ascii="Cambria" w:hAnsi="Cambria" w:cstheme="minorHAnsi"/>
          <w:b/>
          <w:iCs/>
          <w:color w:val="548DD4" w:themeColor="text2" w:themeTint="99"/>
        </w:rPr>
      </w:pPr>
      <w:r w:rsidRPr="00823FED">
        <w:rPr>
          <w:rFonts w:ascii="Cambria" w:hAnsi="Cambria" w:cstheme="minorHAnsi"/>
          <w:b/>
          <w:iCs/>
          <w:color w:val="548DD4" w:themeColor="text2" w:themeTint="99"/>
        </w:rPr>
        <w:t>Активни и прагматични двустранни отношения</w:t>
      </w:r>
    </w:p>
    <w:p w14:paraId="596AA9F7" w14:textId="6DDF28BA" w:rsidR="006E6336" w:rsidRPr="00823FED" w:rsidRDefault="00CF7AD9" w:rsidP="00CF7AD9">
      <w:pPr>
        <w:spacing w:after="0" w:line="240" w:lineRule="auto"/>
        <w:ind w:firstLine="284"/>
        <w:jc w:val="both"/>
        <w:rPr>
          <w:rFonts w:ascii="Cambria" w:hAnsi="Cambria" w:cstheme="minorHAnsi"/>
        </w:rPr>
      </w:pPr>
      <w:r w:rsidRPr="00823FED">
        <w:rPr>
          <w:rFonts w:ascii="Cambria" w:hAnsi="Cambria" w:cstheme="minorHAnsi"/>
        </w:rPr>
        <w:t>През 2021 г. Република България продължи активно да задълбочава двустранните политически, икономически и културни отношения със страните от Югоизточна Европа. Централно място продължи да заема темата за европейската перспектива и свързаността на страните от Западните Балкани. Бяха предприети конкретни мерки за възстановяване на доверието и възобновяване на открития и съдържателен диалог с Република Северна Македония. Бяха проведени двустранни срещи на всички възможни нива с цел проучване на възможностите за постигане на взаимно приемливи решения на отворените въпроси и стриктното прилагане от страна на РСМ на буквата и духа на Договора за приятелство, добросъседство и сътрудничество от 2017 г.</w:t>
      </w:r>
    </w:p>
    <w:p w14:paraId="6866B22E" w14:textId="77777777" w:rsidR="00C62E0B" w:rsidRPr="00C62E0B" w:rsidRDefault="00C62E0B" w:rsidP="00C62E0B">
      <w:pPr>
        <w:spacing w:after="0" w:line="240" w:lineRule="auto"/>
        <w:ind w:firstLine="284"/>
        <w:jc w:val="both"/>
        <w:rPr>
          <w:rFonts w:ascii="Cambria" w:hAnsi="Cambria" w:cstheme="minorHAnsi"/>
        </w:rPr>
      </w:pPr>
      <w:r w:rsidRPr="00C62E0B">
        <w:rPr>
          <w:rFonts w:ascii="Cambria" w:hAnsi="Cambria" w:cstheme="minorHAnsi"/>
        </w:rPr>
        <w:t>Сред приоритетните области на сътрудничеството с държавите от Западна и Централна Европа през първата половина на 2021 г. бяха: развитие на двустранното сътрудничество и защита на интересите на България; утвърждаване на България като страна с благоприятна икономическа и финансова среда и предпочитана дестинация за бизнес и инвестиции; утвърждаване на България като страна с дългогодишни традиции и значими постижения в сферата на науката, образованието и културата и задълбочаване на сътрудничеството в тези области; разширяване на мрежата от двустранни партньорства и развитие на традиционните приятелски отношения с европейските държави.</w:t>
      </w:r>
    </w:p>
    <w:p w14:paraId="6C07421E" w14:textId="2A51B14F" w:rsidR="005F5D96" w:rsidRPr="00823FED" w:rsidRDefault="00BF091C" w:rsidP="005F5D96">
      <w:pPr>
        <w:spacing w:after="0" w:line="240" w:lineRule="auto"/>
        <w:ind w:firstLine="284"/>
        <w:jc w:val="both"/>
        <w:rPr>
          <w:rFonts w:ascii="Cambria" w:hAnsi="Cambria" w:cstheme="minorHAnsi"/>
        </w:rPr>
      </w:pPr>
      <w:r>
        <w:rPr>
          <w:rFonts w:ascii="Cambria" w:hAnsi="Cambria" w:cstheme="minorHAnsi"/>
        </w:rPr>
        <w:t xml:space="preserve">Важен аспект </w:t>
      </w:r>
      <w:r w:rsidR="005F5D96" w:rsidRPr="00823FED">
        <w:rPr>
          <w:rFonts w:ascii="Cambria" w:hAnsi="Cambria" w:cstheme="minorHAnsi"/>
        </w:rPr>
        <w:t>в дейността на МВнР бяха страните от Източното съседство. Водещо място заема Украйна, предвид продължаващата криза и наличието в страната на най-голямата българска историческа общност зад граница.</w:t>
      </w:r>
    </w:p>
    <w:p w14:paraId="6D806D7C" w14:textId="77777777" w:rsidR="001A01C7" w:rsidRPr="00823FED" w:rsidRDefault="001A01C7" w:rsidP="00CF7AD9">
      <w:pPr>
        <w:spacing w:after="0" w:line="240" w:lineRule="auto"/>
        <w:ind w:firstLine="284"/>
        <w:jc w:val="both"/>
        <w:rPr>
          <w:rFonts w:ascii="Cambria" w:hAnsi="Cambria" w:cstheme="minorHAnsi"/>
        </w:rPr>
      </w:pPr>
      <w:r w:rsidRPr="00823FED">
        <w:rPr>
          <w:rFonts w:ascii="Cambria" w:hAnsi="Cambria" w:cstheme="minorHAnsi"/>
        </w:rPr>
        <w:t>Продължиха последователните усилия за утвърждаване и възходящо развитие на стратегическото партньорство на България със САЩ, задълбочаване на двустранните отношения с Канада и за развиване на отношенията и сътрудничеството между Република България и държавите от Латинска Америка и Карибите.</w:t>
      </w:r>
    </w:p>
    <w:p w14:paraId="7A3F0D9B" w14:textId="39ACB007" w:rsidR="00C62E0B" w:rsidRPr="00C62E0B" w:rsidRDefault="00C62E0B" w:rsidP="00C62E0B">
      <w:pPr>
        <w:spacing w:after="0" w:line="240" w:lineRule="auto"/>
        <w:ind w:firstLine="284"/>
        <w:jc w:val="both"/>
        <w:rPr>
          <w:rFonts w:ascii="Cambria" w:hAnsi="Cambria" w:cstheme="minorHAnsi"/>
        </w:rPr>
      </w:pPr>
      <w:r w:rsidRPr="00C62E0B">
        <w:rPr>
          <w:rFonts w:ascii="Cambria" w:hAnsi="Cambria" w:cstheme="minorHAnsi"/>
        </w:rPr>
        <w:t xml:space="preserve">Регионът на Близкия изток и Африка традиционно е във фокуса на българската външна политика и въпреки трудностите, породени от COVID-19, през отчетния период бяха положени усилия за </w:t>
      </w:r>
      <w:r w:rsidR="00131211">
        <w:rPr>
          <w:rFonts w:ascii="Cambria" w:hAnsi="Cambria" w:cstheme="minorHAnsi"/>
        </w:rPr>
        <w:t>запазване на интензивния диалог</w:t>
      </w:r>
      <w:r w:rsidRPr="00C62E0B">
        <w:rPr>
          <w:rFonts w:ascii="Cambria" w:hAnsi="Cambria" w:cstheme="minorHAnsi"/>
        </w:rPr>
        <w:t xml:space="preserve"> с голяма част от партньорите.</w:t>
      </w:r>
    </w:p>
    <w:p w14:paraId="72F52029" w14:textId="76857FEA" w:rsidR="001A01C7" w:rsidRDefault="00C62E0B" w:rsidP="001A01C7">
      <w:pPr>
        <w:spacing w:after="0" w:line="240" w:lineRule="auto"/>
        <w:ind w:firstLine="284"/>
        <w:jc w:val="both"/>
        <w:rPr>
          <w:rFonts w:ascii="Cambria" w:hAnsi="Cambria" w:cstheme="minorHAnsi"/>
        </w:rPr>
      </w:pPr>
      <w:r>
        <w:rPr>
          <w:rFonts w:ascii="Cambria" w:hAnsi="Cambria" w:cstheme="minorHAnsi"/>
        </w:rPr>
        <w:t>М</w:t>
      </w:r>
      <w:r w:rsidR="001A01C7" w:rsidRPr="00823FED">
        <w:rPr>
          <w:rFonts w:ascii="Cambria" w:hAnsi="Cambria" w:cstheme="minorHAnsi"/>
        </w:rPr>
        <w:t xml:space="preserve">инистерството </w:t>
      </w:r>
      <w:r>
        <w:rPr>
          <w:rFonts w:ascii="Cambria" w:hAnsi="Cambria" w:cstheme="minorHAnsi"/>
        </w:rPr>
        <w:t xml:space="preserve">продължи да </w:t>
      </w:r>
      <w:r w:rsidR="001A01C7" w:rsidRPr="00823FED">
        <w:rPr>
          <w:rFonts w:ascii="Cambria" w:hAnsi="Cambria" w:cstheme="minorHAnsi"/>
        </w:rPr>
        <w:t>работи за запазване на положителната тенденция на засилване н</w:t>
      </w:r>
      <w:r w:rsidR="00BF091C">
        <w:rPr>
          <w:rFonts w:ascii="Cambria" w:hAnsi="Cambria" w:cstheme="minorHAnsi"/>
        </w:rPr>
        <w:t>а отношенията с държавите от азиатско-тихоокеанския регион</w:t>
      </w:r>
      <w:r w:rsidR="001A01C7" w:rsidRPr="00823FED">
        <w:rPr>
          <w:rFonts w:ascii="Cambria" w:hAnsi="Cambria" w:cstheme="minorHAnsi"/>
        </w:rPr>
        <w:t xml:space="preserve"> в съответствие с нарастващото значение на региона в световната политика и икономика. Положени бяха усилия за укрепване на икономическото сътрудничество и разширяване позициите на българския бизнес в държавите от АТР, включително чрез работа по получаване на разрешение за износ на български хранителни и земеделск</w:t>
      </w:r>
      <w:r w:rsidR="00BF091C">
        <w:rPr>
          <w:rFonts w:ascii="Cambria" w:hAnsi="Cambria" w:cstheme="minorHAnsi"/>
        </w:rPr>
        <w:t>и продукти за азиатските страни.</w:t>
      </w:r>
    </w:p>
    <w:p w14:paraId="6EC80622" w14:textId="77777777" w:rsidR="00C62E0B" w:rsidRDefault="00C62E0B" w:rsidP="00C62E0B">
      <w:pPr>
        <w:spacing w:after="0" w:line="240" w:lineRule="auto"/>
        <w:jc w:val="both"/>
        <w:rPr>
          <w:rFonts w:ascii="Cambria" w:hAnsi="Cambria" w:cstheme="minorHAnsi"/>
        </w:rPr>
      </w:pPr>
    </w:p>
    <w:p w14:paraId="733C0EA5" w14:textId="410BD956" w:rsidR="00C62E0B" w:rsidRPr="00C62E0B" w:rsidRDefault="00C62E0B" w:rsidP="00C62E0B">
      <w:pPr>
        <w:spacing w:after="0" w:line="240" w:lineRule="auto"/>
        <w:jc w:val="both"/>
        <w:rPr>
          <w:rFonts w:ascii="Cambria" w:hAnsi="Cambria" w:cstheme="minorHAnsi"/>
          <w:b/>
          <w:color w:val="548DD4" w:themeColor="text2" w:themeTint="99"/>
        </w:rPr>
      </w:pPr>
      <w:r w:rsidRPr="00C62E0B">
        <w:rPr>
          <w:rFonts w:ascii="Cambria" w:hAnsi="Cambria" w:cstheme="minorHAnsi"/>
          <w:b/>
          <w:color w:val="548DD4" w:themeColor="text2" w:themeTint="99"/>
        </w:rPr>
        <w:t>Дейност на България в глобални и регионални международни организации и други многостранни формати</w:t>
      </w:r>
    </w:p>
    <w:p w14:paraId="7E9D8F4E" w14:textId="77777777" w:rsidR="00C62E0B" w:rsidRPr="00C62E0B" w:rsidRDefault="00C62E0B" w:rsidP="00C62E0B">
      <w:pPr>
        <w:spacing w:after="0" w:line="240" w:lineRule="auto"/>
        <w:jc w:val="both"/>
        <w:rPr>
          <w:rFonts w:ascii="Cambria" w:hAnsi="Cambria" w:cstheme="minorHAnsi"/>
        </w:rPr>
      </w:pPr>
    </w:p>
    <w:p w14:paraId="24BCA011" w14:textId="3EA8E2D8" w:rsidR="00C62E0B" w:rsidRDefault="001E722E" w:rsidP="00C62E0B">
      <w:pPr>
        <w:spacing w:after="0" w:line="240" w:lineRule="auto"/>
        <w:ind w:firstLine="284"/>
        <w:jc w:val="both"/>
        <w:rPr>
          <w:rFonts w:ascii="Cambria" w:hAnsi="Cambria" w:cstheme="minorHAnsi"/>
        </w:rPr>
      </w:pPr>
      <w:r w:rsidRPr="001E722E">
        <w:rPr>
          <w:rFonts w:ascii="Cambria" w:hAnsi="Cambria" w:cstheme="minorHAnsi"/>
        </w:rPr>
        <w:t>През отчетния период успешно завърши кампанията в подкрепа на кандидатурата на България за член на Съвета по пощенска експлоатация на Всемирния пощенски съюз. Продължава активната кампания в подкрепа на издигнатите към момента кандидатури на България: непостоянен член на Съвета за сигурност на ООН за периода 2038 – 2039 г.; Съвета на Международния съюз по далекосъобщенията за периода 2023 – 2026 г.; посланик Петко Драганов за член на Обединеното звено за инспекции на ООН за периода 2026-2030 г.; посланик Боян Белев за член на Консултативния комитет по административни и бюджетни въпроси на ООН за периода 2028-2030 г.</w:t>
      </w:r>
    </w:p>
    <w:p w14:paraId="4DAA36FC" w14:textId="2747B3C9" w:rsidR="00C62E0B" w:rsidRPr="00823FED" w:rsidRDefault="00C62E0B" w:rsidP="001A01C7">
      <w:pPr>
        <w:spacing w:after="0" w:line="240" w:lineRule="auto"/>
        <w:ind w:firstLine="284"/>
        <w:jc w:val="both"/>
        <w:rPr>
          <w:rFonts w:ascii="Cambria" w:hAnsi="Cambria" w:cstheme="minorHAnsi"/>
        </w:rPr>
      </w:pPr>
      <w:r w:rsidRPr="00C62E0B">
        <w:rPr>
          <w:rFonts w:ascii="Cambria" w:hAnsi="Cambria" w:cstheme="minorHAnsi"/>
        </w:rPr>
        <w:t>Успешно завърши кампанията по кандидатурата на България за член на Комисията на ООН по превенция на престъпността и наказателно правосъдие (CCPCJ) за периода 2022-2024 г.</w:t>
      </w:r>
    </w:p>
    <w:sectPr w:rsidR="00C62E0B" w:rsidRPr="00823FED" w:rsidSect="00EF4D9A">
      <w:footerReference w:type="default" r:id="rId8"/>
      <w:pgSz w:w="11906" w:h="16838"/>
      <w:pgMar w:top="709" w:right="1417" w:bottom="1417" w:left="1417" w:header="708" w:footer="2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11F08" w14:textId="77777777" w:rsidR="00044D8E" w:rsidRDefault="00044D8E" w:rsidP="00CF54A3">
      <w:pPr>
        <w:spacing w:after="0" w:line="240" w:lineRule="auto"/>
      </w:pPr>
      <w:r>
        <w:separator/>
      </w:r>
    </w:p>
  </w:endnote>
  <w:endnote w:type="continuationSeparator" w:id="0">
    <w:p w14:paraId="3725ADE3" w14:textId="77777777" w:rsidR="00044D8E" w:rsidRDefault="00044D8E" w:rsidP="00CF54A3">
      <w:pPr>
        <w:spacing w:after="0" w:line="240" w:lineRule="auto"/>
      </w:pPr>
      <w:r>
        <w:continuationSeparator/>
      </w:r>
    </w:p>
  </w:endnote>
  <w:endnote w:type="continuationNotice" w:id="1">
    <w:p w14:paraId="28E78909" w14:textId="77777777" w:rsidR="008C2140" w:rsidRDefault="008C21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4276105"/>
      <w:docPartObj>
        <w:docPartGallery w:val="Page Numbers (Bottom of Page)"/>
        <w:docPartUnique/>
      </w:docPartObj>
    </w:sdtPr>
    <w:sdtEndPr>
      <w:rPr>
        <w:noProof/>
      </w:rPr>
    </w:sdtEndPr>
    <w:sdtContent>
      <w:p w14:paraId="6BC2D1CB" w14:textId="370E9F0B" w:rsidR="00044D8E" w:rsidRDefault="00044D8E">
        <w:pPr>
          <w:pStyle w:val="Footer"/>
          <w:jc w:val="right"/>
        </w:pPr>
        <w:r>
          <w:fldChar w:fldCharType="begin"/>
        </w:r>
        <w:r>
          <w:instrText xml:space="preserve"> PAGE   \* MERGEFORMAT </w:instrText>
        </w:r>
        <w:r>
          <w:fldChar w:fldCharType="separate"/>
        </w:r>
        <w:r w:rsidR="008C2140">
          <w:rPr>
            <w:noProof/>
          </w:rPr>
          <w:t>8</w:t>
        </w:r>
        <w:r>
          <w:rPr>
            <w:noProof/>
          </w:rPr>
          <w:fldChar w:fldCharType="end"/>
        </w:r>
      </w:p>
    </w:sdtContent>
  </w:sdt>
  <w:p w14:paraId="2BF74B50" w14:textId="77777777" w:rsidR="00044D8E" w:rsidRDefault="00044D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4FA0F" w14:textId="77777777" w:rsidR="00044D8E" w:rsidRDefault="00044D8E" w:rsidP="00CF54A3">
      <w:pPr>
        <w:spacing w:after="0" w:line="240" w:lineRule="auto"/>
      </w:pPr>
      <w:r>
        <w:separator/>
      </w:r>
    </w:p>
  </w:footnote>
  <w:footnote w:type="continuationSeparator" w:id="0">
    <w:p w14:paraId="62C69C64" w14:textId="77777777" w:rsidR="00044D8E" w:rsidRDefault="00044D8E" w:rsidP="00CF54A3">
      <w:pPr>
        <w:spacing w:after="0" w:line="240" w:lineRule="auto"/>
      </w:pPr>
      <w:r>
        <w:continuationSeparator/>
      </w:r>
    </w:p>
  </w:footnote>
  <w:footnote w:type="continuationNotice" w:id="1">
    <w:p w14:paraId="14B58273" w14:textId="77777777" w:rsidR="008C2140" w:rsidRDefault="008C214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67691"/>
    <w:multiLevelType w:val="multilevel"/>
    <w:tmpl w:val="E68408AE"/>
    <w:styleLink w:val="List16"/>
    <w:lvl w:ilvl="0">
      <w:start w:val="1"/>
      <w:numFmt w:val="decimal"/>
      <w:lvlText w:val="%1."/>
      <w:lvlJc w:val="left"/>
      <w:rPr>
        <w:position w:val="0"/>
        <w:shd w:val="clear" w:color="auto" w:fill="FEFFFF"/>
      </w:rPr>
    </w:lvl>
    <w:lvl w:ilvl="1">
      <w:start w:val="1"/>
      <w:numFmt w:val="lowerLetter"/>
      <w:lvlText w:val="%2."/>
      <w:lvlJc w:val="left"/>
      <w:rPr>
        <w:position w:val="0"/>
        <w:shd w:val="clear" w:color="auto" w:fill="FEFFFF"/>
      </w:rPr>
    </w:lvl>
    <w:lvl w:ilvl="2">
      <w:start w:val="1"/>
      <w:numFmt w:val="lowerRoman"/>
      <w:lvlText w:val="%3."/>
      <w:lvlJc w:val="left"/>
      <w:rPr>
        <w:position w:val="0"/>
        <w:shd w:val="clear" w:color="auto" w:fill="FEFFFF"/>
      </w:rPr>
    </w:lvl>
    <w:lvl w:ilvl="3">
      <w:start w:val="1"/>
      <w:numFmt w:val="decimal"/>
      <w:lvlText w:val="%4."/>
      <w:lvlJc w:val="left"/>
      <w:rPr>
        <w:position w:val="0"/>
        <w:shd w:val="clear" w:color="auto" w:fill="FEFFFF"/>
      </w:rPr>
    </w:lvl>
    <w:lvl w:ilvl="4">
      <w:start w:val="1"/>
      <w:numFmt w:val="lowerLetter"/>
      <w:lvlText w:val="%5."/>
      <w:lvlJc w:val="left"/>
      <w:rPr>
        <w:position w:val="0"/>
        <w:shd w:val="clear" w:color="auto" w:fill="FEFFFF"/>
      </w:rPr>
    </w:lvl>
    <w:lvl w:ilvl="5">
      <w:start w:val="1"/>
      <w:numFmt w:val="lowerRoman"/>
      <w:lvlText w:val="%6."/>
      <w:lvlJc w:val="left"/>
      <w:rPr>
        <w:position w:val="0"/>
        <w:shd w:val="clear" w:color="auto" w:fill="FEFFFF"/>
      </w:rPr>
    </w:lvl>
    <w:lvl w:ilvl="6">
      <w:start w:val="1"/>
      <w:numFmt w:val="decimal"/>
      <w:lvlText w:val="%7."/>
      <w:lvlJc w:val="left"/>
      <w:rPr>
        <w:position w:val="0"/>
        <w:shd w:val="clear" w:color="auto" w:fill="FEFFFF"/>
      </w:rPr>
    </w:lvl>
    <w:lvl w:ilvl="7">
      <w:start w:val="1"/>
      <w:numFmt w:val="lowerLetter"/>
      <w:lvlText w:val="%8."/>
      <w:lvlJc w:val="left"/>
      <w:rPr>
        <w:position w:val="0"/>
        <w:shd w:val="clear" w:color="auto" w:fill="FEFFFF"/>
      </w:rPr>
    </w:lvl>
    <w:lvl w:ilvl="8">
      <w:start w:val="1"/>
      <w:numFmt w:val="lowerRoman"/>
      <w:lvlText w:val="%9."/>
      <w:lvlJc w:val="left"/>
      <w:rPr>
        <w:position w:val="0"/>
        <w:shd w:val="clear" w:color="auto" w:fill="FEFFFF"/>
      </w:rPr>
    </w:lvl>
  </w:abstractNum>
  <w:abstractNum w:abstractNumId="1" w15:restartNumberingAfterBreak="0">
    <w:nsid w:val="0ED668B9"/>
    <w:multiLevelType w:val="hybridMultilevel"/>
    <w:tmpl w:val="C2A0F4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8940FA5"/>
    <w:multiLevelType w:val="hybridMultilevel"/>
    <w:tmpl w:val="1EC49BDC"/>
    <w:lvl w:ilvl="0" w:tplc="FF200B2E">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1D3D6772"/>
    <w:multiLevelType w:val="hybridMultilevel"/>
    <w:tmpl w:val="3A44A620"/>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31043354"/>
    <w:multiLevelType w:val="hybridMultilevel"/>
    <w:tmpl w:val="D6BA17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5F34B5"/>
    <w:multiLevelType w:val="hybridMultilevel"/>
    <w:tmpl w:val="77800776"/>
    <w:lvl w:ilvl="0" w:tplc="02EEDA76">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5AD6D58"/>
    <w:multiLevelType w:val="hybridMultilevel"/>
    <w:tmpl w:val="2CE6D46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EDE012A"/>
    <w:multiLevelType w:val="multilevel"/>
    <w:tmpl w:val="527E392E"/>
    <w:lvl w:ilvl="0">
      <w:start w:val="1"/>
      <w:numFmt w:val="upperRoman"/>
      <w:lvlText w:val="%1)"/>
      <w:lvlJc w:val="left"/>
      <w:pPr>
        <w:ind w:left="360" w:hanging="360"/>
      </w:pPr>
      <w:rPr>
        <w:rFonts w:hint="default"/>
      </w:rPr>
    </w:lvl>
    <w:lvl w:ilvl="1">
      <w:start w:val="1"/>
      <w:numFmt w:val="decimal"/>
      <w:lvlText w:val="%2)"/>
      <w:lvlJc w:val="left"/>
      <w:pPr>
        <w:ind w:left="1353"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0DF78BB"/>
    <w:multiLevelType w:val="hybridMultilevel"/>
    <w:tmpl w:val="F4E0BAB4"/>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ABC43F9"/>
    <w:multiLevelType w:val="hybridMultilevel"/>
    <w:tmpl w:val="D79E67A4"/>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0" w15:restartNumberingAfterBreak="0">
    <w:nsid w:val="50464C70"/>
    <w:multiLevelType w:val="hybridMultilevel"/>
    <w:tmpl w:val="660A1B7A"/>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5B854F8D"/>
    <w:multiLevelType w:val="hybridMultilevel"/>
    <w:tmpl w:val="547A2E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4CB079A"/>
    <w:multiLevelType w:val="hybridMultilevel"/>
    <w:tmpl w:val="484CE40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6F3335D"/>
    <w:multiLevelType w:val="hybridMultilevel"/>
    <w:tmpl w:val="429AA376"/>
    <w:lvl w:ilvl="0" w:tplc="BD40FBA2">
      <w:start w:val="1"/>
      <w:numFmt w:val="bullet"/>
      <w:lvlText w:val="-"/>
      <w:lvlJc w:val="left"/>
      <w:pPr>
        <w:ind w:left="1068" w:hanging="360"/>
      </w:pPr>
      <w:rPr>
        <w:rFonts w:ascii="Times New Roman" w:eastAsiaTheme="minorHAnsi"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4" w15:restartNumberingAfterBreak="0">
    <w:nsid w:val="6F740D15"/>
    <w:multiLevelType w:val="hybridMultilevel"/>
    <w:tmpl w:val="8B7EE4DE"/>
    <w:lvl w:ilvl="0" w:tplc="04020001">
      <w:start w:val="1"/>
      <w:numFmt w:val="bullet"/>
      <w:lvlText w:val=""/>
      <w:lvlJc w:val="left"/>
      <w:pPr>
        <w:ind w:left="720" w:hanging="360"/>
      </w:pPr>
      <w:rPr>
        <w:rFonts w:ascii="Symbol" w:hAnsi="Symbol" w:hint="default"/>
        <w:b/>
        <w:color w:val="0070C0"/>
        <w:sz w:val="28"/>
        <w:szCs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BD43ABC"/>
    <w:multiLevelType w:val="hybridMultilevel"/>
    <w:tmpl w:val="F9082B0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num w:numId="1">
    <w:abstractNumId w:val="6"/>
  </w:num>
  <w:num w:numId="2">
    <w:abstractNumId w:val="15"/>
  </w:num>
  <w:num w:numId="3">
    <w:abstractNumId w:val="12"/>
  </w:num>
  <w:num w:numId="4">
    <w:abstractNumId w:val="4"/>
  </w:num>
  <w:num w:numId="5">
    <w:abstractNumId w:val="2"/>
  </w:num>
  <w:num w:numId="6">
    <w:abstractNumId w:val="13"/>
  </w:num>
  <w:num w:numId="7">
    <w:abstractNumId w:val="8"/>
  </w:num>
  <w:num w:numId="8">
    <w:abstractNumId w:val="7"/>
  </w:num>
  <w:num w:numId="9">
    <w:abstractNumId w:val="7"/>
    <w:lvlOverride w:ilvl="0">
      <w:startOverride w:val="1"/>
    </w:lvlOverride>
    <w:lvlOverride w:ilvl="1">
      <w:startOverride w:val="9"/>
    </w:lvlOverride>
  </w:num>
  <w:num w:numId="10">
    <w:abstractNumId w:val="3"/>
  </w:num>
  <w:num w:numId="11">
    <w:abstractNumId w:val="9"/>
  </w:num>
  <w:num w:numId="12">
    <w:abstractNumId w:val="10"/>
  </w:num>
  <w:num w:numId="13">
    <w:abstractNumId w:val="5"/>
  </w:num>
  <w:num w:numId="14">
    <w:abstractNumId w:val="1"/>
  </w:num>
  <w:num w:numId="15">
    <w:abstractNumId w:val="0"/>
  </w:num>
  <w:num w:numId="16">
    <w:abstractNumId w:val="14"/>
  </w:num>
  <w:num w:numId="17">
    <w:abstractNumId w:val="1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182"/>
    <w:rsid w:val="00011B30"/>
    <w:rsid w:val="00020ECE"/>
    <w:rsid w:val="00022267"/>
    <w:rsid w:val="00044170"/>
    <w:rsid w:val="00044D8E"/>
    <w:rsid w:val="00045F0D"/>
    <w:rsid w:val="000612CC"/>
    <w:rsid w:val="00063B03"/>
    <w:rsid w:val="000662FB"/>
    <w:rsid w:val="00067F99"/>
    <w:rsid w:val="000878A1"/>
    <w:rsid w:val="00091C5B"/>
    <w:rsid w:val="000929B7"/>
    <w:rsid w:val="00092FF7"/>
    <w:rsid w:val="00094B0D"/>
    <w:rsid w:val="00095455"/>
    <w:rsid w:val="000A0E83"/>
    <w:rsid w:val="000A695A"/>
    <w:rsid w:val="000A6DB4"/>
    <w:rsid w:val="000B6928"/>
    <w:rsid w:val="000C1FCF"/>
    <w:rsid w:val="000C65E7"/>
    <w:rsid w:val="000C6685"/>
    <w:rsid w:val="000C73E2"/>
    <w:rsid w:val="000E557D"/>
    <w:rsid w:val="000F37EB"/>
    <w:rsid w:val="001000BF"/>
    <w:rsid w:val="00101CAD"/>
    <w:rsid w:val="0010575E"/>
    <w:rsid w:val="00105BC3"/>
    <w:rsid w:val="001102D0"/>
    <w:rsid w:val="00117E40"/>
    <w:rsid w:val="001210D8"/>
    <w:rsid w:val="001220A2"/>
    <w:rsid w:val="001221E4"/>
    <w:rsid w:val="00124D91"/>
    <w:rsid w:val="00125355"/>
    <w:rsid w:val="00131211"/>
    <w:rsid w:val="0013362F"/>
    <w:rsid w:val="00157D1C"/>
    <w:rsid w:val="0016771B"/>
    <w:rsid w:val="001774D3"/>
    <w:rsid w:val="00191852"/>
    <w:rsid w:val="001A01C7"/>
    <w:rsid w:val="001A02B6"/>
    <w:rsid w:val="001A6EE1"/>
    <w:rsid w:val="001A7F79"/>
    <w:rsid w:val="001B3EB4"/>
    <w:rsid w:val="001B68B2"/>
    <w:rsid w:val="001B6F21"/>
    <w:rsid w:val="001C4D4E"/>
    <w:rsid w:val="001E722E"/>
    <w:rsid w:val="001F3510"/>
    <w:rsid w:val="00202473"/>
    <w:rsid w:val="002058F9"/>
    <w:rsid w:val="0021141E"/>
    <w:rsid w:val="00212C89"/>
    <w:rsid w:val="0021648C"/>
    <w:rsid w:val="00223EEC"/>
    <w:rsid w:val="00226583"/>
    <w:rsid w:val="00230093"/>
    <w:rsid w:val="00235BF0"/>
    <w:rsid w:val="00244AB7"/>
    <w:rsid w:val="002475FE"/>
    <w:rsid w:val="00251072"/>
    <w:rsid w:val="00251209"/>
    <w:rsid w:val="00257B22"/>
    <w:rsid w:val="00281262"/>
    <w:rsid w:val="002814EC"/>
    <w:rsid w:val="002933BE"/>
    <w:rsid w:val="002A35CC"/>
    <w:rsid w:val="002C0885"/>
    <w:rsid w:val="002C3FA3"/>
    <w:rsid w:val="002D1419"/>
    <w:rsid w:val="002E363C"/>
    <w:rsid w:val="002F17B0"/>
    <w:rsid w:val="0030176A"/>
    <w:rsid w:val="0030337C"/>
    <w:rsid w:val="00310EFB"/>
    <w:rsid w:val="00313CC3"/>
    <w:rsid w:val="00315D42"/>
    <w:rsid w:val="00320AF9"/>
    <w:rsid w:val="003230A0"/>
    <w:rsid w:val="00324A71"/>
    <w:rsid w:val="0032516B"/>
    <w:rsid w:val="00355582"/>
    <w:rsid w:val="00355FCC"/>
    <w:rsid w:val="0037006C"/>
    <w:rsid w:val="00385656"/>
    <w:rsid w:val="00395344"/>
    <w:rsid w:val="003A3523"/>
    <w:rsid w:val="003B1A85"/>
    <w:rsid w:val="003D3327"/>
    <w:rsid w:val="003D463A"/>
    <w:rsid w:val="003E247C"/>
    <w:rsid w:val="00400229"/>
    <w:rsid w:val="00407C37"/>
    <w:rsid w:val="00412B89"/>
    <w:rsid w:val="00413717"/>
    <w:rsid w:val="004144B2"/>
    <w:rsid w:val="00424432"/>
    <w:rsid w:val="00430152"/>
    <w:rsid w:val="004403C2"/>
    <w:rsid w:val="004452D3"/>
    <w:rsid w:val="004571FD"/>
    <w:rsid w:val="00460D4D"/>
    <w:rsid w:val="004714B7"/>
    <w:rsid w:val="004718D8"/>
    <w:rsid w:val="0048618A"/>
    <w:rsid w:val="00486511"/>
    <w:rsid w:val="00497493"/>
    <w:rsid w:val="004A4590"/>
    <w:rsid w:val="004A4890"/>
    <w:rsid w:val="004B015A"/>
    <w:rsid w:val="004B4580"/>
    <w:rsid w:val="004C2DE9"/>
    <w:rsid w:val="004C4EF3"/>
    <w:rsid w:val="004C5B58"/>
    <w:rsid w:val="004C5BE9"/>
    <w:rsid w:val="004E6549"/>
    <w:rsid w:val="004E7C5E"/>
    <w:rsid w:val="004F1CEF"/>
    <w:rsid w:val="0050131E"/>
    <w:rsid w:val="00502651"/>
    <w:rsid w:val="0051757E"/>
    <w:rsid w:val="00524280"/>
    <w:rsid w:val="0053641E"/>
    <w:rsid w:val="00537850"/>
    <w:rsid w:val="00546319"/>
    <w:rsid w:val="005678F7"/>
    <w:rsid w:val="0058045B"/>
    <w:rsid w:val="00582B51"/>
    <w:rsid w:val="00585129"/>
    <w:rsid w:val="005915E5"/>
    <w:rsid w:val="005A20B8"/>
    <w:rsid w:val="005A7950"/>
    <w:rsid w:val="005B16FE"/>
    <w:rsid w:val="005D33A0"/>
    <w:rsid w:val="005E5099"/>
    <w:rsid w:val="005E672A"/>
    <w:rsid w:val="005E7B3C"/>
    <w:rsid w:val="005F479C"/>
    <w:rsid w:val="005F5D96"/>
    <w:rsid w:val="00601DF8"/>
    <w:rsid w:val="006163F5"/>
    <w:rsid w:val="00621677"/>
    <w:rsid w:val="00623381"/>
    <w:rsid w:val="00627931"/>
    <w:rsid w:val="00636F1F"/>
    <w:rsid w:val="00655DF5"/>
    <w:rsid w:val="00660AED"/>
    <w:rsid w:val="0066565F"/>
    <w:rsid w:val="006736E4"/>
    <w:rsid w:val="00677D82"/>
    <w:rsid w:val="006A223E"/>
    <w:rsid w:val="006A408D"/>
    <w:rsid w:val="006C1940"/>
    <w:rsid w:val="006C4334"/>
    <w:rsid w:val="006D015E"/>
    <w:rsid w:val="006E6336"/>
    <w:rsid w:val="006E6BC8"/>
    <w:rsid w:val="006F09B6"/>
    <w:rsid w:val="006F29B0"/>
    <w:rsid w:val="006F70FF"/>
    <w:rsid w:val="00700CCF"/>
    <w:rsid w:val="0070223E"/>
    <w:rsid w:val="00703084"/>
    <w:rsid w:val="00703B68"/>
    <w:rsid w:val="00705F9D"/>
    <w:rsid w:val="00714758"/>
    <w:rsid w:val="00716035"/>
    <w:rsid w:val="00721A70"/>
    <w:rsid w:val="0073242F"/>
    <w:rsid w:val="00733BDA"/>
    <w:rsid w:val="00737E42"/>
    <w:rsid w:val="007448F5"/>
    <w:rsid w:val="0075186B"/>
    <w:rsid w:val="007537B3"/>
    <w:rsid w:val="00756B0A"/>
    <w:rsid w:val="00760BC2"/>
    <w:rsid w:val="00760E36"/>
    <w:rsid w:val="00766A55"/>
    <w:rsid w:val="007740D7"/>
    <w:rsid w:val="00785182"/>
    <w:rsid w:val="0079620E"/>
    <w:rsid w:val="007B02D4"/>
    <w:rsid w:val="007B0E9E"/>
    <w:rsid w:val="007B25B8"/>
    <w:rsid w:val="007B346C"/>
    <w:rsid w:val="007B6528"/>
    <w:rsid w:val="007C628B"/>
    <w:rsid w:val="007D5DEC"/>
    <w:rsid w:val="007D68D0"/>
    <w:rsid w:val="007F5D4D"/>
    <w:rsid w:val="008114F1"/>
    <w:rsid w:val="00812B10"/>
    <w:rsid w:val="008132AF"/>
    <w:rsid w:val="00816F4D"/>
    <w:rsid w:val="00823FED"/>
    <w:rsid w:val="00834997"/>
    <w:rsid w:val="00842D1B"/>
    <w:rsid w:val="00846246"/>
    <w:rsid w:val="00850EBA"/>
    <w:rsid w:val="00852292"/>
    <w:rsid w:val="00880B7B"/>
    <w:rsid w:val="00885450"/>
    <w:rsid w:val="00892829"/>
    <w:rsid w:val="008928AF"/>
    <w:rsid w:val="00893030"/>
    <w:rsid w:val="008A029A"/>
    <w:rsid w:val="008A2304"/>
    <w:rsid w:val="008B15B4"/>
    <w:rsid w:val="008B3BAB"/>
    <w:rsid w:val="008B4551"/>
    <w:rsid w:val="008B4CD2"/>
    <w:rsid w:val="008B74F5"/>
    <w:rsid w:val="008C16C3"/>
    <w:rsid w:val="008C2140"/>
    <w:rsid w:val="008D2C3B"/>
    <w:rsid w:val="008D4F9D"/>
    <w:rsid w:val="008F199A"/>
    <w:rsid w:val="009026C4"/>
    <w:rsid w:val="009032DF"/>
    <w:rsid w:val="00904193"/>
    <w:rsid w:val="00905135"/>
    <w:rsid w:val="00911F44"/>
    <w:rsid w:val="00914492"/>
    <w:rsid w:val="009145D6"/>
    <w:rsid w:val="00917D2B"/>
    <w:rsid w:val="009246B0"/>
    <w:rsid w:val="00927519"/>
    <w:rsid w:val="00927604"/>
    <w:rsid w:val="00951346"/>
    <w:rsid w:val="00962D16"/>
    <w:rsid w:val="00971D2A"/>
    <w:rsid w:val="009721AC"/>
    <w:rsid w:val="009740C3"/>
    <w:rsid w:val="009754CB"/>
    <w:rsid w:val="00991919"/>
    <w:rsid w:val="0099359E"/>
    <w:rsid w:val="009A7122"/>
    <w:rsid w:val="009C0586"/>
    <w:rsid w:val="009D02D9"/>
    <w:rsid w:val="009D0620"/>
    <w:rsid w:val="009E05DB"/>
    <w:rsid w:val="009E45A5"/>
    <w:rsid w:val="009E4637"/>
    <w:rsid w:val="00A04A9E"/>
    <w:rsid w:val="00A11BE2"/>
    <w:rsid w:val="00A13609"/>
    <w:rsid w:val="00A21989"/>
    <w:rsid w:val="00A23258"/>
    <w:rsid w:val="00A32220"/>
    <w:rsid w:val="00A50D68"/>
    <w:rsid w:val="00A51C76"/>
    <w:rsid w:val="00A5210F"/>
    <w:rsid w:val="00A60AA2"/>
    <w:rsid w:val="00A73BCB"/>
    <w:rsid w:val="00A81DD4"/>
    <w:rsid w:val="00A91ABA"/>
    <w:rsid w:val="00AB399C"/>
    <w:rsid w:val="00AB51FD"/>
    <w:rsid w:val="00AB5328"/>
    <w:rsid w:val="00AB6650"/>
    <w:rsid w:val="00AC2A2D"/>
    <w:rsid w:val="00AC6BFD"/>
    <w:rsid w:val="00AD1A7E"/>
    <w:rsid w:val="00AD6F15"/>
    <w:rsid w:val="00AE0B4B"/>
    <w:rsid w:val="00B01068"/>
    <w:rsid w:val="00B01AFD"/>
    <w:rsid w:val="00B041E8"/>
    <w:rsid w:val="00B10B1B"/>
    <w:rsid w:val="00B10BB8"/>
    <w:rsid w:val="00B32D02"/>
    <w:rsid w:val="00B4389F"/>
    <w:rsid w:val="00B4524E"/>
    <w:rsid w:val="00B55D0F"/>
    <w:rsid w:val="00B70470"/>
    <w:rsid w:val="00B707A0"/>
    <w:rsid w:val="00B740F1"/>
    <w:rsid w:val="00B755E2"/>
    <w:rsid w:val="00B76FD3"/>
    <w:rsid w:val="00B819FF"/>
    <w:rsid w:val="00B826C0"/>
    <w:rsid w:val="00B828BD"/>
    <w:rsid w:val="00B85CD4"/>
    <w:rsid w:val="00B96CC1"/>
    <w:rsid w:val="00BA0712"/>
    <w:rsid w:val="00BB1312"/>
    <w:rsid w:val="00BB5A29"/>
    <w:rsid w:val="00BC0ED1"/>
    <w:rsid w:val="00BC3477"/>
    <w:rsid w:val="00BD6B10"/>
    <w:rsid w:val="00BD708C"/>
    <w:rsid w:val="00BD7701"/>
    <w:rsid w:val="00BD78D3"/>
    <w:rsid w:val="00BE69BC"/>
    <w:rsid w:val="00BF091C"/>
    <w:rsid w:val="00BF28B6"/>
    <w:rsid w:val="00BF50A1"/>
    <w:rsid w:val="00BF64B3"/>
    <w:rsid w:val="00C031A7"/>
    <w:rsid w:val="00C05180"/>
    <w:rsid w:val="00C07BA7"/>
    <w:rsid w:val="00C131A1"/>
    <w:rsid w:val="00C147D7"/>
    <w:rsid w:val="00C206DF"/>
    <w:rsid w:val="00C2390B"/>
    <w:rsid w:val="00C264F0"/>
    <w:rsid w:val="00C2657E"/>
    <w:rsid w:val="00C32C91"/>
    <w:rsid w:val="00C34D89"/>
    <w:rsid w:val="00C4743A"/>
    <w:rsid w:val="00C57C51"/>
    <w:rsid w:val="00C61295"/>
    <w:rsid w:val="00C6179F"/>
    <w:rsid w:val="00C62E0B"/>
    <w:rsid w:val="00C73B24"/>
    <w:rsid w:val="00C901D0"/>
    <w:rsid w:val="00CA2B5A"/>
    <w:rsid w:val="00CA3EA0"/>
    <w:rsid w:val="00CB17AA"/>
    <w:rsid w:val="00CB2416"/>
    <w:rsid w:val="00CD07DE"/>
    <w:rsid w:val="00CD0FD0"/>
    <w:rsid w:val="00CD313A"/>
    <w:rsid w:val="00CD3E8F"/>
    <w:rsid w:val="00CE5267"/>
    <w:rsid w:val="00CE528E"/>
    <w:rsid w:val="00CF376F"/>
    <w:rsid w:val="00CF3CCC"/>
    <w:rsid w:val="00CF54A3"/>
    <w:rsid w:val="00CF6B20"/>
    <w:rsid w:val="00CF7AD9"/>
    <w:rsid w:val="00D018B0"/>
    <w:rsid w:val="00D03186"/>
    <w:rsid w:val="00D162A1"/>
    <w:rsid w:val="00D346BA"/>
    <w:rsid w:val="00D51AEB"/>
    <w:rsid w:val="00D545AA"/>
    <w:rsid w:val="00D54760"/>
    <w:rsid w:val="00D61887"/>
    <w:rsid w:val="00D7312D"/>
    <w:rsid w:val="00D83368"/>
    <w:rsid w:val="00D83EE5"/>
    <w:rsid w:val="00D905CC"/>
    <w:rsid w:val="00D97AE7"/>
    <w:rsid w:val="00DA2C34"/>
    <w:rsid w:val="00DA3C5E"/>
    <w:rsid w:val="00DA7D34"/>
    <w:rsid w:val="00DB0CA6"/>
    <w:rsid w:val="00DB30DF"/>
    <w:rsid w:val="00DB3BDE"/>
    <w:rsid w:val="00DB7021"/>
    <w:rsid w:val="00DB7E31"/>
    <w:rsid w:val="00DC02F3"/>
    <w:rsid w:val="00DC46C0"/>
    <w:rsid w:val="00DC637C"/>
    <w:rsid w:val="00DD0946"/>
    <w:rsid w:val="00DD0D8E"/>
    <w:rsid w:val="00DD2ABE"/>
    <w:rsid w:val="00DD5F56"/>
    <w:rsid w:val="00DE2D45"/>
    <w:rsid w:val="00E0193C"/>
    <w:rsid w:val="00E04796"/>
    <w:rsid w:val="00E06CD3"/>
    <w:rsid w:val="00E11C09"/>
    <w:rsid w:val="00E25801"/>
    <w:rsid w:val="00E27C8F"/>
    <w:rsid w:val="00E319B2"/>
    <w:rsid w:val="00E32E50"/>
    <w:rsid w:val="00E405FC"/>
    <w:rsid w:val="00E42F90"/>
    <w:rsid w:val="00E52DA2"/>
    <w:rsid w:val="00E554DB"/>
    <w:rsid w:val="00E67187"/>
    <w:rsid w:val="00E73CB1"/>
    <w:rsid w:val="00E949B5"/>
    <w:rsid w:val="00EA2A29"/>
    <w:rsid w:val="00EB3601"/>
    <w:rsid w:val="00EC066D"/>
    <w:rsid w:val="00EC7279"/>
    <w:rsid w:val="00ED6003"/>
    <w:rsid w:val="00EE14A9"/>
    <w:rsid w:val="00EE2A26"/>
    <w:rsid w:val="00EE32B5"/>
    <w:rsid w:val="00EE540D"/>
    <w:rsid w:val="00EE63D7"/>
    <w:rsid w:val="00EF0F03"/>
    <w:rsid w:val="00EF4D9A"/>
    <w:rsid w:val="00F12EF0"/>
    <w:rsid w:val="00F16FE2"/>
    <w:rsid w:val="00F17B9A"/>
    <w:rsid w:val="00F22561"/>
    <w:rsid w:val="00F22D0F"/>
    <w:rsid w:val="00F37763"/>
    <w:rsid w:val="00F60FBE"/>
    <w:rsid w:val="00F67809"/>
    <w:rsid w:val="00F81CAC"/>
    <w:rsid w:val="00FA662D"/>
    <w:rsid w:val="00FA6B7F"/>
    <w:rsid w:val="00FB60AD"/>
    <w:rsid w:val="00FC2875"/>
    <w:rsid w:val="00FD63CB"/>
    <w:rsid w:val="00FE1350"/>
    <w:rsid w:val="00FF282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E0E522"/>
  <w15:docId w15:val="{AAD36A4E-40D6-4CF9-8A5A-3BB274572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30093"/>
    <w:pPr>
      <w:keepNext/>
      <w:spacing w:after="0" w:line="240" w:lineRule="auto"/>
      <w:ind w:firstLine="720"/>
      <w:jc w:val="both"/>
      <w:outlineLvl w:val="0"/>
    </w:pPr>
    <w:rPr>
      <w:rFonts w:ascii="Times New Roman" w:eastAsia="Times New Roman" w:hAnsi="Times New Roman" w:cs="Times New Roman"/>
      <w:b/>
      <w:caps/>
      <w:sz w:val="24"/>
      <w:szCs w:val="20"/>
      <w:lang w:eastAsia="bg-BG"/>
    </w:rPr>
  </w:style>
  <w:style w:type="paragraph" w:styleId="Heading2">
    <w:name w:val="heading 2"/>
    <w:basedOn w:val="Normal"/>
    <w:next w:val="Normal"/>
    <w:link w:val="Heading2Char"/>
    <w:uiPriority w:val="9"/>
    <w:unhideWhenUsed/>
    <w:qFormat/>
    <w:rsid w:val="007B346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Recommendation,List Paragraph11,Bulleted Para,NFP GP Bulleted List,FooterText,numbered,Paragraphe de liste1,Bulletr List Paragraph,列出段落,列出段落1,List Paragraph2,List Paragraph21,Listeafsnit1,Parágrafo da Lista1,リスト段落1,L,CV t"/>
    <w:basedOn w:val="Normal"/>
    <w:link w:val="ListParagraphChar"/>
    <w:uiPriority w:val="34"/>
    <w:qFormat/>
    <w:rsid w:val="00785182"/>
    <w:pPr>
      <w:ind w:left="720"/>
      <w:contextualSpacing/>
    </w:pPr>
  </w:style>
  <w:style w:type="character" w:customStyle="1" w:styleId="Heading1Char">
    <w:name w:val="Heading 1 Char"/>
    <w:basedOn w:val="DefaultParagraphFont"/>
    <w:link w:val="Heading1"/>
    <w:rsid w:val="00230093"/>
    <w:rPr>
      <w:rFonts w:ascii="Times New Roman" w:eastAsia="Times New Roman" w:hAnsi="Times New Roman" w:cs="Times New Roman"/>
      <w:b/>
      <w:caps/>
      <w:sz w:val="24"/>
      <w:szCs w:val="20"/>
      <w:lang w:eastAsia="bg-BG"/>
    </w:rPr>
  </w:style>
  <w:style w:type="character" w:customStyle="1" w:styleId="ListParagraphChar">
    <w:name w:val="List Paragraph Char"/>
    <w:aliases w:val="List Paragraph1 Char,Recommendation Char,List Paragraph11 Char,Bulleted Para Char,NFP GP Bulleted List Char,FooterText Char,numbered Char,Paragraphe de liste1 Char,Bulletr List Paragraph Char,列出段落 Char,列出段落1 Char,List Paragraph2 Char"/>
    <w:basedOn w:val="DefaultParagraphFont"/>
    <w:link w:val="ListParagraph"/>
    <w:uiPriority w:val="34"/>
    <w:qFormat/>
    <w:rsid w:val="00A32220"/>
  </w:style>
  <w:style w:type="paragraph" w:styleId="BalloonText">
    <w:name w:val="Balloon Text"/>
    <w:basedOn w:val="Normal"/>
    <w:link w:val="BalloonTextChar"/>
    <w:uiPriority w:val="99"/>
    <w:semiHidden/>
    <w:unhideWhenUsed/>
    <w:rsid w:val="004C2D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2DE9"/>
    <w:rPr>
      <w:rFonts w:ascii="Segoe UI" w:hAnsi="Segoe UI" w:cs="Segoe UI"/>
      <w:sz w:val="18"/>
      <w:szCs w:val="18"/>
    </w:rPr>
  </w:style>
  <w:style w:type="paragraph" w:styleId="Header">
    <w:name w:val="header"/>
    <w:basedOn w:val="Normal"/>
    <w:link w:val="HeaderChar"/>
    <w:uiPriority w:val="99"/>
    <w:unhideWhenUsed/>
    <w:rsid w:val="00CF54A3"/>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54A3"/>
  </w:style>
  <w:style w:type="paragraph" w:styleId="Footer">
    <w:name w:val="footer"/>
    <w:basedOn w:val="Normal"/>
    <w:link w:val="FooterChar"/>
    <w:uiPriority w:val="99"/>
    <w:unhideWhenUsed/>
    <w:rsid w:val="00CF54A3"/>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54A3"/>
  </w:style>
  <w:style w:type="character" w:styleId="CommentReference">
    <w:name w:val="annotation reference"/>
    <w:basedOn w:val="DefaultParagraphFont"/>
    <w:uiPriority w:val="99"/>
    <w:semiHidden/>
    <w:unhideWhenUsed/>
    <w:rsid w:val="00EE63D7"/>
    <w:rPr>
      <w:sz w:val="16"/>
      <w:szCs w:val="16"/>
    </w:rPr>
  </w:style>
  <w:style w:type="paragraph" w:styleId="CommentText">
    <w:name w:val="annotation text"/>
    <w:basedOn w:val="Normal"/>
    <w:link w:val="CommentTextChar"/>
    <w:uiPriority w:val="99"/>
    <w:semiHidden/>
    <w:unhideWhenUsed/>
    <w:rsid w:val="00EE63D7"/>
    <w:pPr>
      <w:spacing w:line="240" w:lineRule="auto"/>
    </w:pPr>
    <w:rPr>
      <w:sz w:val="20"/>
      <w:szCs w:val="20"/>
    </w:rPr>
  </w:style>
  <w:style w:type="character" w:customStyle="1" w:styleId="CommentTextChar">
    <w:name w:val="Comment Text Char"/>
    <w:basedOn w:val="DefaultParagraphFont"/>
    <w:link w:val="CommentText"/>
    <w:uiPriority w:val="99"/>
    <w:semiHidden/>
    <w:rsid w:val="00EE63D7"/>
    <w:rPr>
      <w:sz w:val="20"/>
      <w:szCs w:val="20"/>
    </w:rPr>
  </w:style>
  <w:style w:type="paragraph" w:styleId="CommentSubject">
    <w:name w:val="annotation subject"/>
    <w:basedOn w:val="CommentText"/>
    <w:next w:val="CommentText"/>
    <w:link w:val="CommentSubjectChar"/>
    <w:uiPriority w:val="99"/>
    <w:semiHidden/>
    <w:unhideWhenUsed/>
    <w:rsid w:val="00EE63D7"/>
    <w:rPr>
      <w:b/>
      <w:bCs/>
    </w:rPr>
  </w:style>
  <w:style w:type="character" w:customStyle="1" w:styleId="CommentSubjectChar">
    <w:name w:val="Comment Subject Char"/>
    <w:basedOn w:val="CommentTextChar"/>
    <w:link w:val="CommentSubject"/>
    <w:uiPriority w:val="99"/>
    <w:semiHidden/>
    <w:rsid w:val="00EE63D7"/>
    <w:rPr>
      <w:b/>
      <w:bCs/>
      <w:sz w:val="20"/>
      <w:szCs w:val="20"/>
    </w:rPr>
  </w:style>
  <w:style w:type="paragraph" w:styleId="Revision">
    <w:name w:val="Revision"/>
    <w:hidden/>
    <w:uiPriority w:val="99"/>
    <w:semiHidden/>
    <w:rsid w:val="00DB7E31"/>
    <w:pPr>
      <w:spacing w:after="0" w:line="240" w:lineRule="auto"/>
    </w:pPr>
  </w:style>
  <w:style w:type="table" w:styleId="TableGrid">
    <w:name w:val="Table Grid"/>
    <w:basedOn w:val="TableNormal"/>
    <w:uiPriority w:val="59"/>
    <w:rsid w:val="00812B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link w:val="textChar"/>
    <w:qFormat/>
    <w:rsid w:val="007B346C"/>
    <w:pPr>
      <w:spacing w:after="120" w:line="240" w:lineRule="auto"/>
      <w:ind w:firstLine="708"/>
      <w:jc w:val="both"/>
    </w:pPr>
    <w:rPr>
      <w:rFonts w:ascii="Times New Roman" w:eastAsia="Times New Roman" w:hAnsi="Times New Roman" w:cs="Times New Roman"/>
      <w:sz w:val="24"/>
      <w:szCs w:val="24"/>
      <w:lang w:val="ru-RU"/>
    </w:rPr>
  </w:style>
  <w:style w:type="character" w:customStyle="1" w:styleId="textChar">
    <w:name w:val="text Char"/>
    <w:link w:val="text"/>
    <w:rsid w:val="007B346C"/>
    <w:rPr>
      <w:rFonts w:ascii="Times New Roman" w:eastAsia="Times New Roman" w:hAnsi="Times New Roman" w:cs="Times New Roman"/>
      <w:sz w:val="24"/>
      <w:szCs w:val="24"/>
      <w:lang w:val="ru-RU"/>
    </w:rPr>
  </w:style>
  <w:style w:type="character" w:customStyle="1" w:styleId="Heading2Char">
    <w:name w:val="Heading 2 Char"/>
    <w:basedOn w:val="DefaultParagraphFont"/>
    <w:link w:val="Heading2"/>
    <w:uiPriority w:val="9"/>
    <w:semiHidden/>
    <w:rsid w:val="007B346C"/>
    <w:rPr>
      <w:rFonts w:asciiTheme="majorHAnsi" w:eastAsiaTheme="majorEastAsia" w:hAnsiTheme="majorHAnsi" w:cstheme="majorBidi"/>
      <w:color w:val="365F91" w:themeColor="accent1" w:themeShade="BF"/>
      <w:sz w:val="26"/>
      <w:szCs w:val="26"/>
    </w:rPr>
  </w:style>
  <w:style w:type="paragraph" w:customStyle="1" w:styleId="Body">
    <w:name w:val="Body"/>
    <w:rsid w:val="007D68D0"/>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eastAsia="bg-BG"/>
    </w:rPr>
  </w:style>
  <w:style w:type="paragraph" w:styleId="NoSpacing">
    <w:name w:val="No Spacing"/>
    <w:uiPriority w:val="1"/>
    <w:qFormat/>
    <w:rsid w:val="00885450"/>
    <w:pPr>
      <w:spacing w:after="0" w:line="240" w:lineRule="auto"/>
    </w:pPr>
  </w:style>
  <w:style w:type="numbering" w:customStyle="1" w:styleId="List16">
    <w:name w:val="List 16"/>
    <w:basedOn w:val="NoList"/>
    <w:rsid w:val="00DA3C5E"/>
    <w:pPr>
      <w:numPr>
        <w:numId w:val="15"/>
      </w:numPr>
    </w:pPr>
  </w:style>
  <w:style w:type="paragraph" w:styleId="TOC1">
    <w:name w:val="toc 1"/>
    <w:basedOn w:val="Normal"/>
    <w:next w:val="Normal"/>
    <w:autoRedefine/>
    <w:uiPriority w:val="39"/>
    <w:semiHidden/>
    <w:unhideWhenUsed/>
    <w:rsid w:val="001A01C7"/>
    <w:pPr>
      <w:spacing w:after="100"/>
    </w:pPr>
  </w:style>
  <w:style w:type="table" w:customStyle="1" w:styleId="1">
    <w:name w:val="Мрежа в таблица1"/>
    <w:basedOn w:val="TableNormal"/>
    <w:next w:val="TableGrid"/>
    <w:uiPriority w:val="59"/>
    <w:rsid w:val="00EF4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640843">
      <w:bodyDiv w:val="1"/>
      <w:marLeft w:val="0"/>
      <w:marRight w:val="0"/>
      <w:marTop w:val="0"/>
      <w:marBottom w:val="0"/>
      <w:divBdr>
        <w:top w:val="none" w:sz="0" w:space="0" w:color="auto"/>
        <w:left w:val="none" w:sz="0" w:space="0" w:color="auto"/>
        <w:bottom w:val="none" w:sz="0" w:space="0" w:color="auto"/>
        <w:right w:val="none" w:sz="0" w:space="0" w:color="auto"/>
      </w:divBdr>
    </w:div>
    <w:div w:id="822509052">
      <w:bodyDiv w:val="1"/>
      <w:marLeft w:val="0"/>
      <w:marRight w:val="0"/>
      <w:marTop w:val="0"/>
      <w:marBottom w:val="0"/>
      <w:divBdr>
        <w:top w:val="none" w:sz="0" w:space="0" w:color="auto"/>
        <w:left w:val="none" w:sz="0" w:space="0" w:color="auto"/>
        <w:bottom w:val="none" w:sz="0" w:space="0" w:color="auto"/>
        <w:right w:val="none" w:sz="0" w:space="0" w:color="auto"/>
      </w:divBdr>
    </w:div>
    <w:div w:id="122043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FDE83F-582D-43C4-A2DE-9A29A9138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3332</Words>
  <Characters>18993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Емил Нургалиев</dc:creator>
  <cp:lastModifiedBy>Iskra Grigorova</cp:lastModifiedBy>
  <cp:revision>4</cp:revision>
  <cp:lastPrinted>2018-10-10T12:52:00Z</cp:lastPrinted>
  <dcterms:created xsi:type="dcterms:W3CDTF">2022-05-20T06:36:00Z</dcterms:created>
  <dcterms:modified xsi:type="dcterms:W3CDTF">2022-05-23T06:27:00Z</dcterms:modified>
</cp:coreProperties>
</file>